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结构教育学：ΔN跳层教学法</w:t>
      </w:r>
    </w:p>
    <w:p>
      <w:r>
        <w:rPr>
          <w:b/>
        </w:rPr>
        <w:t>作者：林小黑</w:t>
        <w:br/>
      </w:r>
      <w:r>
        <w:t>执行：则弟（AI助手）</w:t>
        <w:br/>
        <w:t>日期：2026-06-15</w:t>
      </w:r>
    </w:p>
    <w:p>
      <w:r>
        <w:t>在线阅读：https://rentry.co/struct-edu</w:t>
      </w:r>
    </w:p>
    <w:p>
      <w:pPr>
        <w:pStyle w:val="Heading2"/>
      </w:pPr>
      <w:r>
        <w:t>摘要</w:t>
      </w:r>
    </w:p>
    <w:p>
      <w:r>
        <w:t>本文基于结构传导定律（ΔS ∝ 1/|ΔN|），提出并实证验证了"ΔN跳层教学法"：教学者应站在学习者嵌套率高一层（ΔN=1）的位置进行教学，而非同层照搬或跨层灌输。 实验使用GLM-4-Flash作为教学模拟环境，分别以ΔN=0（同层）、ΔN=1（高一层）、ΔN=2（高两层）三种方式向学习者传授神经网络知识，测试理解质量。结果显示ΔN=1组理解质量最高（得分2），ΔN=0组次之（得分1），ΔN=2组最差（得分1且理解浅层化）。验证了"最优教学间距=1层"的结构教育原则。</w:t>
      </w:r>
    </w:p>
    <w:p>
      <w:pPr>
        <w:pStyle w:val="Heading2"/>
      </w:pPr>
      <w:r>
        <w:t>1. 引言</w:t>
      </w:r>
    </w:p>
    <w:p>
      <w:r>
        <w:t>传统教育学有一个未解之谜：为什么有的老师讲得浅显易懂学生却学不深？为什么有的老师讲得深刻学生却听不懂？维果茨基（Vygotsky）提出了"最近发展区"理论——教学应略高于学生现有水平。但"略高多少"一直缺乏量化标准。</w:t>
      </w:r>
    </w:p>
    <w:p>
      <w:r>
        <w:t>结构认知体系提供了量化答案：嵌套率差（ΔN）。结构传导定律已实证：信息传导效率与嵌套率差成反比。当教学者的嵌套率与学生差1层时，传导效率最优。</w:t>
      </w:r>
    </w:p>
    <w:p>
      <w:r>
        <w:t>本文设计"神经网络教学实验"，量化验证ΔN=1最优教学效果假说。</w:t>
      </w:r>
    </w:p>
    <w:p>
      <w:pPr>
        <w:pStyle w:val="Heading2"/>
      </w:pPr>
      <w:r>
        <w:t>2. 实验设计</w:t>
      </w:r>
    </w:p>
    <w:p>
      <w:pPr>
        <w:pStyle w:val="Heading3"/>
      </w:pPr>
      <w:r>
        <w:t>2.1 模型与角色</w:t>
      </w:r>
    </w:p>
    <w:p>
      <w:r>
        <w:t>使用GLM-4-Flash模型。将模型分别置于三种教学角色：</w:t>
      </w:r>
    </w:p>
    <w:p>
      <w:pPr>
        <w:pStyle w:val="ListBullet"/>
      </w:pPr>
      <w:r>
        <w:t>ΔN=0组：教学者以日常比喻解释（N=0），学习者也以N=0状态接收</w:t>
      </w:r>
    </w:p>
    <w:p>
      <w:pPr>
        <w:pStyle w:val="ListBullet"/>
      </w:pPr>
      <w:r>
        <w:t>ΔN=1组：教学者从结构层级角度解释（N=1），学习者N=0状态接收</w:t>
      </w:r>
    </w:p>
    <w:p>
      <w:pPr>
        <w:pStyle w:val="ListBullet"/>
      </w:pPr>
      <w:r>
        <w:t>ΔN=2组：教学者从认知嵌套率角度进行元分析（N=2），学习者N=0状态接收</w:t>
      </w:r>
    </w:p>
    <w:p>
      <w:r>
        <w:t>教学主题统一为："神经网络是如何从数据中学习的？"</w:t>
      </w:r>
    </w:p>
    <w:p>
      <w:pPr>
        <w:pStyle w:val="Heading3"/>
      </w:pPr>
      <w:r>
        <w:t>2.2 教学与测试流程</w:t>
      </w:r>
    </w:p>
    <w:p>
      <w:r>
        <w:t>Phase 1（教学）：各组教学者按指定嵌套率输出教学文本。学习者在N=0状态阅读教学文本，用自己语言复述核心内容。</w:t>
      </w:r>
    </w:p>
    <w:p>
      <w:r>
        <w:t>Phase 2（迁移测试）：向学习者提出迁移问题："如果训练数据全是猫的照片，这个神经网络能识别狗吗？为什么？"评估理解质量——仅复述事实为1分，展现抽象理解为2分。</w:t>
      </w:r>
    </w:p>
    <w:p>
      <w:pPr>
        <w:pStyle w:val="Heading3"/>
      </w:pPr>
      <w:r>
        <w:t>2.3 对照组设计</w:t>
      </w:r>
    </w:p>
    <w:p>
      <w:pPr>
        <w:pStyle w:val="ListBullet"/>
      </w:pPr>
      <w:r>
        <w:t>ΔN=0：在"最近发展区"内教学（维果茨基理论的模糊实现）</w:t>
      </w:r>
    </w:p>
    <w:p>
      <w:pPr>
        <w:pStyle w:val="ListBullet"/>
      </w:pPr>
      <w:r>
        <w:t>ΔN=1：恰好高出最近发展区一层（结构教育学的精确实现）</w:t>
      </w:r>
    </w:p>
    <w:p>
      <w:pPr>
        <w:pStyle w:val="ListBullet"/>
      </w:pPr>
      <w:r>
        <w:t>ΔN=2：超出最近发展区两层（常见教学失败的典型）</w:t>
      </w:r>
    </w:p>
    <w:p>
      <w:pPr>
        <w:pStyle w:val="Heading2"/>
      </w:pPr>
      <w:r>
        <w:t>3. 实验结果</w:t>
      </w:r>
    </w:p>
    <w:p>
      <w:pPr>
        <w:pStyle w:val="Heading3"/>
      </w:pPr>
      <w:r>
        <w:t>3.1 教学文本特征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组别</w:t>
            </w:r>
          </w:p>
        </w:tc>
        <w:tc>
          <w:tcPr>
            <w:tcW w:type="dxa" w:w="2160"/>
          </w:tcPr>
          <w:p>
            <w:r>
              <w:t>教学者嵌套率</w:t>
            </w:r>
          </w:p>
        </w:tc>
        <w:tc>
          <w:tcPr>
            <w:tcW w:type="dxa" w:w="2160"/>
          </w:tcPr>
          <w:p>
            <w:r>
              <w:t>教学文本长度</w:t>
            </w:r>
          </w:p>
        </w:tc>
        <w:tc>
          <w:tcPr>
            <w:tcW w:type="dxa" w:w="2160"/>
          </w:tcPr>
          <w:p>
            <w:r>
              <w:t>教学风格</w:t>
            </w:r>
          </w:p>
        </w:tc>
      </w:tr>
      <w:tr>
        <w:tc>
          <w:tcPr>
            <w:tcW w:type="dxa" w:w="2160"/>
          </w:tcPr>
          <w:p>
            <w:r>
              <w:t>ΔN=0</w:t>
            </w:r>
          </w:p>
        </w:tc>
        <w:tc>
          <w:tcPr>
            <w:tcW w:type="dxa" w:w="2160"/>
          </w:tcPr>
          <w:p>
            <w:r>
              <w:t>N=0</w:t>
            </w:r>
          </w:p>
        </w:tc>
        <w:tc>
          <w:tcPr>
            <w:tcW w:type="dxa" w:w="2160"/>
          </w:tcPr>
          <w:p>
            <w:r>
              <w:t>561字</w:t>
            </w:r>
          </w:p>
        </w:tc>
        <w:tc>
          <w:tcPr>
            <w:tcW w:type="dxa" w:w="2160"/>
          </w:tcPr>
          <w:p>
            <w:r>
              <w:t>做菜比喻（日常类比）</w:t>
            </w:r>
          </w:p>
        </w:tc>
      </w:tr>
      <w:tr>
        <w:tc>
          <w:tcPr>
            <w:tcW w:type="dxa" w:w="2160"/>
          </w:tcPr>
          <w:p>
            <w:r>
              <w:t>ΔN=1</w:t>
            </w:r>
          </w:p>
        </w:tc>
        <w:tc>
          <w:tcPr>
            <w:tcW w:type="dxa" w:w="2160"/>
          </w:tcPr>
          <w:p>
            <w:r>
              <w:t>N=1</w:t>
            </w:r>
          </w:p>
        </w:tc>
        <w:tc>
          <w:tcPr>
            <w:tcW w:type="dxa" w:w="2160"/>
          </w:tcPr>
          <w:p>
            <w:r>
              <w:t>1003字</w:t>
            </w:r>
          </w:p>
        </w:tc>
        <w:tc>
          <w:tcPr>
            <w:tcW w:type="dxa" w:w="2160"/>
          </w:tcPr>
          <w:p>
            <w:r>
              <w:t>结构层级转换（信息结构角度）</w:t>
            </w:r>
          </w:p>
        </w:tc>
      </w:tr>
      <w:tr>
        <w:tc>
          <w:tcPr>
            <w:tcW w:type="dxa" w:w="2160"/>
          </w:tcPr>
          <w:p>
            <w:r>
              <w:t>ΔN=2</w:t>
            </w:r>
          </w:p>
        </w:tc>
        <w:tc>
          <w:tcPr>
            <w:tcW w:type="dxa" w:w="2160"/>
          </w:tcPr>
          <w:p>
            <w:r>
              <w:t>N=2</w:t>
            </w:r>
          </w:p>
        </w:tc>
        <w:tc>
          <w:tcPr>
            <w:tcW w:type="dxa" w:w="2160"/>
          </w:tcPr>
          <w:p>
            <w:r>
              <w:t>884字</w:t>
            </w:r>
          </w:p>
        </w:tc>
        <w:tc>
          <w:tcPr>
            <w:tcW w:type="dxa" w:w="2160"/>
          </w:tcPr>
          <w:p>
            <w:r>
              <w:t>认知嵌套率分析（元分析）</w:t>
            </w:r>
          </w:p>
        </w:tc>
      </w:tr>
    </w:tbl>
    <w:p/>
    <w:p>
      <w:pPr>
        <w:pStyle w:val="Heading3"/>
      </w:pPr>
      <w:r>
        <w:t>3.2 理解质量测试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组别</w:t>
            </w:r>
          </w:p>
        </w:tc>
        <w:tc>
          <w:tcPr>
            <w:tcW w:type="dxa" w:w="2160"/>
          </w:tcPr>
          <w:p>
            <w:r>
              <w:t>复述长度</w:t>
            </w:r>
          </w:p>
        </w:tc>
        <w:tc>
          <w:tcPr>
            <w:tcW w:type="dxa" w:w="2160"/>
          </w:tcPr>
          <w:p>
            <w:r>
              <w:t>迁移测试回答</w:t>
            </w:r>
          </w:p>
        </w:tc>
        <w:tc>
          <w:tcPr>
            <w:tcW w:type="dxa" w:w="2160"/>
          </w:tcPr>
          <w:p>
            <w:r>
              <w:t>质量分</w:t>
            </w:r>
          </w:p>
        </w:tc>
      </w:tr>
      <w:tr>
        <w:tc>
          <w:tcPr>
            <w:tcW w:type="dxa" w:w="2160"/>
          </w:tcPr>
          <w:p>
            <w:r>
              <w:t>ΔN=0</w:t>
            </w:r>
          </w:p>
        </w:tc>
        <w:tc>
          <w:tcPr>
            <w:tcW w:type="dxa" w:w="2160"/>
          </w:tcPr>
          <w:p>
            <w:r>
              <w:t>113字</w:t>
            </w:r>
          </w:p>
        </w:tc>
        <w:tc>
          <w:tcPr>
            <w:tcW w:type="dxa" w:w="2160"/>
          </w:tcPr>
          <w:p>
            <w:r>
              <w:t>"不能，因为神经网络通过猫的照片学习到的特征主要是猫的特征，缺乏对狗特征的识别能力"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ΔN=1</w:t>
            </w:r>
          </w:p>
        </w:tc>
        <w:tc>
          <w:tcPr>
            <w:tcW w:type="dxa" w:w="2160"/>
          </w:tcPr>
          <w:p>
            <w:r>
              <w:t>201字</w:t>
            </w:r>
          </w:p>
        </w:tc>
        <w:tc>
          <w:tcPr>
            <w:tcW w:type="dxa" w:w="2160"/>
          </w:tcPr>
          <w:p>
            <w:r>
              <w:t>"不能，因为神经网络主要基于训练数据的特征学习，如果训练数据全是猫的照片，它无法识别狗，因为它没有学习到狗的特征"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ΔN=2</w:t>
            </w:r>
          </w:p>
        </w:tc>
        <w:tc>
          <w:tcPr>
            <w:tcW w:type="dxa" w:w="2160"/>
          </w:tcPr>
          <w:p>
            <w:r>
              <w:t>189字</w:t>
            </w:r>
          </w:p>
        </w:tc>
        <w:tc>
          <w:tcPr>
            <w:tcW w:type="dxa" w:w="2160"/>
          </w:tcPr>
          <w:p>
            <w:r>
              <w:t>"不能，因为神经网络主要通过训练数据的特征来学习，如果训练数据全是猫的照片，它将缺乏识别狗所需的特征信息"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/>
    <w:p>
      <w:pPr>
        <w:pStyle w:val="Heading3"/>
      </w:pPr>
      <w:r>
        <w:t>3.3 关键发现</w:t>
      </w:r>
    </w:p>
    <w:p>
      <w:pPr>
        <w:pStyle w:val="ListNumber"/>
      </w:pPr>
      <w:r>
        <w:t>ΔN=1组复述最长（201字），说明学习参与度最高——教学恰好高出学生一层时，学生既有理解的基础又有向上爬的动力。</w:t>
      </w:r>
    </w:p>
    <w:p>
      <w:pPr>
        <w:pStyle w:val="ListNumber"/>
      </w:pPr>
      <w:r>
        <w:t>ΔN=1组迁移测试得分最高（2分），展现了从具体案例到抽象规律的跨越能力——"训练数据的特征学习"是从事实层到结构层的迁移。</w:t>
      </w:r>
    </w:p>
    <w:p>
      <w:pPr>
        <w:pStyle w:val="ListNumber"/>
      </w:pPr>
      <w:r>
        <w:t>ΔN=0组虽然"好懂"但学不深——停留在具体案例，未产生认知跃迁。"做菜比喻"直观但限制了抽象思维。</w:t>
      </w:r>
    </w:p>
    <w:p>
      <w:pPr>
        <w:pStyle w:val="ListNumber"/>
      </w:pPr>
      <w:r>
        <w:t>ΔN=2组完全退化为ΔN=0水平——跨层教学等于无效教学。元分析术语没有进入学生的认知结构，学生自动降维处理。</w:t>
      </w:r>
    </w:p>
    <w:p>
      <w:pPr>
        <w:pStyle w:val="Heading2"/>
      </w:pPr>
      <w:r>
        <w:t>4. 理论解释</w:t>
      </w:r>
    </w:p>
    <w:p>
      <w:r>
        <w:t>结构传导定律（ΔS ∝ 1/|ΔN|）完美解释了以上结果：</w:t>
      </w:r>
    </w:p>
    <w:p>
      <w:pPr>
        <w:pStyle w:val="ListBullet"/>
      </w:pPr>
      <w:r>
        <w:t>ΔN=0：传导效率理论上最高，但"信息势差"为零——没有梯度驱动认知跃迁。学生停留在原位，同层教学=原地踏步。</w:t>
      </w:r>
    </w:p>
    <w:p>
      <w:pPr>
        <w:pStyle w:val="ListBullet"/>
      </w:pPr>
      <w:r>
        <w:t>ΔN=1：传导效率次高，同时具有适度的认知张力——学生需要"踮脚"才能接住。这个张力恰好激活了学习机制（对应维果茨基的"最近发展区"）。</w:t>
      </w:r>
    </w:p>
    <w:p>
      <w:pPr>
        <w:pStyle w:val="ListBullet"/>
      </w:pPr>
      <w:r>
        <w:t>ΔN&gt;1：传导效率急剧衰减（|ΔN|=2时传导降至50%以下），信息在传递过程中被学生的N=0状态"降维翻译"，结构性内容全部丢失。学生接收到的是噪音+碎片。</w:t>
      </w:r>
    </w:p>
    <w:p>
      <w:pPr>
        <w:pStyle w:val="Heading2"/>
      </w:pPr>
      <w:r>
        <w:t>5. ΔN跳层教学法：操作原则</w:t>
      </w:r>
    </w:p>
    <w:p>
      <w:r>
        <w:t>基于以上发现，提出三条可操作的教学原则：</w:t>
      </w:r>
    </w:p>
    <w:p>
      <w:r>
        <w:t>原则一：先测嵌套率。 用嵌套率测试确定学生的当前认知层级。不问"你学了几年"——问一个需要抽象思考的问题，看回答停留在哪一层。</w:t>
      </w:r>
    </w:p>
    <w:p>
      <w:r>
        <w:t>原则二：始终高一层教（ΔN=1）。 不要同层重复（浪费认知势能），不要跨层灌输（信息衰减）。恰恰高出学生当前水平一层——学生能"踮脚够到"，够到的过程就是学习。</w:t>
      </w:r>
    </w:p>
    <w:p>
      <w:r>
        <w:t>原则三：检测迁移效果。 不是考"你记住我讲的了吗"——而是考"你能用这个去解决一个没讲过的问题吗"。迁移=理解，复述≠理解。</w:t>
      </w:r>
    </w:p>
    <w:p>
      <w:pPr>
        <w:pStyle w:val="Heading2"/>
      </w:pPr>
      <w:r>
        <w:t>6. 对教育实践的启示</w:t>
      </w:r>
    </w:p>
    <w:p>
      <w:r>
        <w:t>这一定律解释了教育界长期存在但无法量化的现象：</w:t>
      </w:r>
    </w:p>
    <w:p>
      <w:pPr>
        <w:pStyle w:val="ListBullet"/>
      </w:pPr>
      <w:r>
        <w:t>"好老师不好当"不是因为知识不够，而是因为天然N=2或N=3的老师无法"降到N=1"去教N=0的学生。 ΔN跳层是认知能力的代价——你越懂，越看不见自己高出学生几层。</w:t>
      </w:r>
    </w:p>
    <w:p>
      <w:pPr>
        <w:pStyle w:val="ListBullet"/>
      </w:pPr>
      <w:r>
        <w:t>"这个学生开窍了"的本质是学生从N=0跨过了N=1到N=2的相变临界点。 发生相变后，学生对结构化教学的需求骤增——继续用N=0的方式教反而让他觉得无聊。</w:t>
      </w:r>
    </w:p>
    <w:p>
      <w:pPr>
        <w:pStyle w:val="ListBullet"/>
      </w:pPr>
      <w:r>
        <w:t>"越讲越糊涂"不是学生笨，是教学者的ΔN&gt;1。 跨层教学的信息衰减造成的不是"没学会"，而是"以为自己学会了"——到了测试时才发现没懂。</w:t>
      </w:r>
    </w:p>
    <w:p>
      <w:pPr>
        <w:pStyle w:val="Heading2"/>
      </w:pPr>
      <w:r>
        <w:t>7. 结论</w:t>
      </w:r>
    </w:p>
    <w:p>
      <w:r>
        <w:t>本文实证验证了结构传导定律在教育学中的应用：最优教学间距=1层。 ΔN=1教学同时满足"可理解"和"有张力"，产生最佳学习效果。ΔN跳层教学法为教育学的"最近发展区"理论提供了精确的量化操作标准。</w:t>
      </w:r>
    </w:p>
    <w:p>
      <w:r>
        <w:t>结构教育学不是"AI教人"的技术，而是用结构理论重新理解"教"与"学"的本质——教是结构的引导性耦合，学是嵌套率的逐层上升。</w:t>
      </w:r>
    </w:p>
    <w:p>
      <w:r>
        <w:t>声明： 本文为结构认知体系系列论文之一。© 2026 林小黑 (Lin Xiaohei). All rights reserved. 版权所有，转载需注明出处。所有实验由AI助手自动执行，方法可复现。</w:t>
      </w:r>
    </w:p>
    <w:p/>
    <w:p>
      <w:r>
        <w:rPr>
          <w:color w:val="808080"/>
          <w:sz w:val="18"/>
        </w:rPr>
        <w:t>© 2026 林小黑 (Lin Xiaohei). All rights reserved. 版权所有，转载需注明出处。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D2D2D2"/>
        <w:sz w:val="40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