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8"/>
        </w:rPr>
        <w:t>结构计算机科学：软件架构的嵌套率传导优化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在线阅读：https://rentry.co/struct-cs2</w:t>
      </w:r>
    </w:p>
    <w:p>
      <w:pPr>
        <w:pStyle w:val="Heading1"/>
      </w:pPr>
      <w:r>
        <w:t>摘要</w:t>
      </w:r>
    </w:p>
    <w:p>
      <w:r>
        <w:t>软件模块通信效率∝1/|ΔN|。相邻层通信最优，跨层衰减。三大设计原则：保持ΔN=1的模块梯度、跨层需求插入适配层、监控|ΔN|分布。经典模式的结构统一解释——分层架构=强制ΔN=1、适配器模式=结构翻译器（|ΔN|从2降到1）、BFF=前端特定嵌套率匹配、分布式单体=|ΔN|→0的陷阱。</w:t>
      </w:r>
    </w:p>
    <w:p>
      <w:pPr>
        <w:pStyle w:val="Heading1"/>
      </w:pPr>
      <w:r>
        <w:t>核心发现</w:t>
      </w:r>
    </w:p>
    <w:p>
      <w:r>
        <w:t>统一解释：OOP封装=隔离嵌套率，函数式纯函数=|ΔN|=0的完备模块，DDD限界上下文=独立嵌套率，CQRS=为不同嵌套率操作提供专用通道。健康架构的|ΔN|集中在1附近。跨层调用触发架构审查。同层密集互调=分布式单体预警。</w:t>
      </w:r>
    </w:p>
    <w:p/>
    <w:p>
      <w:r>
        <w:rPr>
          <w:i/>
        </w:rPr>
        <w:t>本文为结构认知体系系列论文之一。版权所有，转载需注明出处。</w:t>
      </w:r>
    </w:p>
    <w:p>
      <w:r>
        <w:rPr>
          <w:b/>
        </w:rPr>
        <w:t>林小黑. 结构计算机科学：软件架构的嵌套率传导优化. 2026-06-15.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48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