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Structural CS: Architecture Conduction Optimization</w:t>
      </w:r>
    </w:p>
    <w:p>
      <w:r>
        <w:rPr>
          <w:b/>
        </w:rPr>
        <w:t>Author: Lin Xiaohei</w:t>
        <w:br/>
        <w:t>Date: 2026-06-15</w:t>
        <w:br/>
      </w:r>
    </w:p>
    <w:p>
      <w:r>
        <w:t>Full: https://rentry.co/struct-cs2</w:t>
      </w:r>
    </w:p>
    <w:p>
      <w:pPr>
        <w:pStyle w:val="Heading1"/>
      </w:pPr>
      <w:r>
        <w:t>Core Thesis</w:t>
      </w:r>
    </w:p>
    <w:p>
      <w:r>
        <w:t>The Structural Conduction Law applies to software architecture: communication efficiency between software modules is inversely proportional to their nesting rate difference. Adjacent-layer communication (deltaN=1) is optimal. Cross-layer communication (deltaN&gt;=2) decays. This unifies classic design patterns.</w:t>
        <w:br/>
        <w:br/>
        <w:t>Three principles:</w:t>
        <w:br/>
        <w:t>1. Maintain deltaN=1 module gradient (layered architecture)</w:t>
        <w:br/>
        <w:t>2. Cross-layer needs = insert adapter layer (Adapter pattern, BFF)</w:t>
        <w:br/>
        <w:t>3. Monitor |deltaN| distribution as architecture health metric</w:t>
        <w:br/>
        <w:br/>
        <w:t>Existing practice re-explained:</w:t>
        <w:br/>
        <w:t>- Layered Architecture = forcing deltaN=1</w:t>
        <w:br/>
        <w:t>- Adapter Pattern = structural translator reducing |deltaN| from 2 to 1</w:t>
        <w:br/>
        <w:t>- BFF = per-frontend deltaN=1 matching</w:t>
        <w:br/>
        <w:t>- OOP encapsulation = isolating nesting rates</w:t>
        <w:br/>
        <w:t>- DDD bounded context = independent nesting rate per domain</w:t>
      </w:r>
    </w:p>
    <w:p>
      <w:r>
        <w:rPr>
          <w:b/>
        </w:rPr>
        <w:t>Lin Xiaohei. Structural CS. 2026-06-15.</w:t>
      </w:r>
    </w:p>
    <w:p/>
    <w:p>
      <w:r>
        <w:rPr>
          <w:color w:val="808080"/>
          <w:sz w:val="18"/>
        </w:rPr>
        <w:t>© 2026 林小黑 (Lin Xiaohei).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8C8C8"/>
        <w:sz w:val="48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