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结构计算机科学：软件架构的嵌套率传导优化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在线阅读：https://rentry.co/struct-cs2</w:t>
      </w:r>
    </w:p>
    <w:p>
      <w:pPr>
        <w:pStyle w:val="Heading2"/>
      </w:pPr>
      <w:r>
        <w:t>摘要</w:t>
      </w:r>
    </w:p>
    <w:p>
      <w:r>
        <w:t>本文将结构传导定律（ΔS ∝ 1/|ΔN|）应用于软件架构领域，提出"架构传导效率定律"：软件系统中，模块间的通信效率与它们的嵌套率差成反比。 相邻层（ΔN=1）的模块间通信最优，跨层通信（ΔN≥2）显著衰减。基于此，推导出三条架构设计原则：保持模块嵌套率梯度、避免跨层调用、引入结构适配层（Structural Adapter Layer）作为翻译器。这一定律统一解释了软件工程中的经典模式——分层架构（Layered Architecture）、适配器模式（Adapter Pattern）、以及微服务的BFF（Backend for Frontend）模式——它们都是降低|ΔN|的结构性操作。</w:t>
      </w:r>
    </w:p>
    <w:p>
      <w:pPr>
        <w:pStyle w:val="Heading2"/>
      </w:pPr>
      <w:r>
        <w:t>1. 架构中的"沟通问题"</w:t>
      </w:r>
    </w:p>
    <w:p>
      <w:r>
        <w:t>软件架构的核心问题之一是模块间的通信。任何一个架构师都遇到过以下困境：</w:t>
      </w:r>
    </w:p>
    <w:p>
      <w:pPr>
        <w:pStyle w:val="ListBullet"/>
      </w:pPr>
      <w:r>
        <w:t>前端直接调用数据库：前端（展示层N=0）需要原始数据（存储层N=2），跨两层调用，接口复杂、易出错</w:t>
      </w:r>
    </w:p>
    <w:p>
      <w:pPr>
        <w:pStyle w:val="ListBullet"/>
      </w:pPr>
      <w:r>
        <w:t>两个微服务互相调用陷入循环：两个服务嵌套率趋同（|ΔN|→0），通信过度耦合——一个改动需要对方同步修改</w:t>
      </w:r>
    </w:p>
    <w:p>
      <w:pPr>
        <w:pStyle w:val="ListBullet"/>
      </w:pPr>
      <w:r>
        <w:t>API网关过重：网关试图同时处理N=0（前端格式）、N=1（业务逻辑）、N=2（数据模型）的转换，结果是三层耦合在一个节点里</w:t>
      </w:r>
    </w:p>
    <w:p>
      <w:r>
        <w:t>这些困境传统上被视为"设计缺陷"，但根本原因从来未被精确解释。结构传导定律提供了统一框架。</w:t>
      </w:r>
    </w:p>
    <w:p>
      <w:pPr>
        <w:pStyle w:val="Heading2"/>
      </w:pPr>
      <w:r>
        <w:t>2. 软件模块的嵌套率定义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嵌套率</w:t>
            </w:r>
          </w:p>
        </w:tc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关注内容</w:t>
            </w:r>
          </w:p>
        </w:tc>
        <w:tc>
          <w:tcPr>
            <w:tcW w:type="dxa" w:w="2160"/>
          </w:tcPr>
          <w:p>
            <w:r>
              <w:t>实例</w:t>
            </w:r>
          </w:p>
        </w:tc>
      </w:tr>
      <w:tr>
        <w:tc>
          <w:tcPr>
            <w:tcW w:type="dxa" w:w="2160"/>
          </w:tcPr>
          <w:p>
            <w:r>
              <w:t>N=0</w:t>
            </w:r>
          </w:p>
        </w:tc>
        <w:tc>
          <w:tcPr>
            <w:tcW w:type="dxa" w:w="2160"/>
          </w:tcPr>
          <w:p>
            <w:r>
              <w:t>展示层</w:t>
            </w:r>
          </w:p>
        </w:tc>
        <w:tc>
          <w:tcPr>
            <w:tcW w:type="dxa" w:w="2160"/>
          </w:tcPr>
          <w:p>
            <w:r>
              <w:t>UI、用户体验、视觉格式</w:t>
            </w:r>
          </w:p>
        </w:tc>
        <w:tc>
          <w:tcPr>
            <w:tcW w:type="dxa" w:w="2160"/>
          </w:tcPr>
          <w:p>
            <w:r>
              <w:t>前端组件、CSS、模板</w:t>
            </w:r>
          </w:p>
        </w:tc>
      </w:tr>
      <w:tr>
        <w:tc>
          <w:tcPr>
            <w:tcW w:type="dxa" w:w="2160"/>
          </w:tcPr>
          <w:p>
            <w:r>
              <w:t>N=1</w:t>
            </w:r>
          </w:p>
        </w:tc>
        <w:tc>
          <w:tcPr>
            <w:tcW w:type="dxa" w:w="2160"/>
          </w:tcPr>
          <w:p>
            <w:r>
              <w:t>业务层</w:t>
            </w:r>
          </w:p>
        </w:tc>
        <w:tc>
          <w:tcPr>
            <w:tcW w:type="dxa" w:w="2160"/>
          </w:tcPr>
          <w:p>
            <w:r>
              <w:t>业务规则、流程编排、领域逻辑</w:t>
            </w:r>
          </w:p>
        </w:tc>
        <w:tc>
          <w:tcPr>
            <w:tcW w:type="dxa" w:w="2160"/>
          </w:tcPr>
          <w:p>
            <w:r>
              <w:t>Service层、Use Case、Controller</w:t>
            </w:r>
          </w:p>
        </w:tc>
      </w:tr>
      <w:tr>
        <w:tc>
          <w:tcPr>
            <w:tcW w:type="dxa" w:w="2160"/>
          </w:tcPr>
          <w:p>
            <w:r>
              <w:t>N=2</w:t>
            </w:r>
          </w:p>
        </w:tc>
        <w:tc>
          <w:tcPr>
            <w:tcW w:type="dxa" w:w="2160"/>
          </w:tcPr>
          <w:p>
            <w:r>
              <w:t>数据层</w:t>
            </w:r>
          </w:p>
        </w:tc>
        <w:tc>
          <w:tcPr>
            <w:tcW w:type="dxa" w:w="2160"/>
          </w:tcPr>
          <w:p>
            <w:r>
              <w:t>数据模型、持久化、查询优化</w:t>
            </w:r>
          </w:p>
        </w:tc>
        <w:tc>
          <w:tcPr>
            <w:tcW w:type="dxa" w:w="2160"/>
          </w:tcPr>
          <w:p>
            <w:r>
              <w:t>Repository、ORM、数据库Schema</w:t>
            </w:r>
          </w:p>
        </w:tc>
      </w:tr>
      <w:tr>
        <w:tc>
          <w:tcPr>
            <w:tcW w:type="dxa" w:w="2160"/>
          </w:tcPr>
          <w:p>
            <w:r>
              <w:t>N=3</w:t>
            </w:r>
          </w:p>
        </w:tc>
        <w:tc>
          <w:tcPr>
            <w:tcW w:type="dxa" w:w="2160"/>
          </w:tcPr>
          <w:p>
            <w:r>
              <w:t>基础设施层</w:t>
            </w:r>
          </w:p>
        </w:tc>
        <w:tc>
          <w:tcPr>
            <w:tcW w:type="dxa" w:w="2160"/>
          </w:tcPr>
          <w:p>
            <w:r>
              <w:t>架构本身的元数据</w:t>
            </w:r>
          </w:p>
        </w:tc>
        <w:tc>
          <w:tcPr>
            <w:tcW w:type="dxa" w:w="2160"/>
          </w:tcPr>
          <w:p>
            <w:r>
              <w:t>配置中心、服务注册、监控、部署</w:t>
            </w:r>
          </w:p>
        </w:tc>
      </w:tr>
    </w:tbl>
    <w:p/>
    <w:p>
      <w:pPr>
        <w:pStyle w:val="Heading2"/>
      </w:pPr>
      <w:r>
        <w:t>3. 架构传导效率定律</w:t>
      </w:r>
    </w:p>
    <w:p>
      <w:r>
        <w:t>定律： 软件模块A与模块B之间的通信效率 ∝ 1/|N(A) - N(B)|</w:t>
      </w:r>
    </w:p>
    <w:p>
      <w:pPr>
        <w:pStyle w:val="Heading3"/>
      </w:pPr>
      <w:r>
        <w:t>3.1 相邻层通信（ΔN=1）：最优</w:t>
      </w:r>
    </w:p>
    <w:p>
      <w:r>
        <w:t>前端←→业务层：前端发送HTTP请求（N=0格式），业务层返回DTO（N=1格式）。|ΔN|=1，传导效率最优。这是分层架构的核心设计原则——每一层只与紧邻层通信。</w:t>
      </w:r>
    </w:p>
    <w:p>
      <w:pPr>
        <w:pStyle w:val="Heading3"/>
      </w:pPr>
      <w:r>
        <w:t>3.2 跨层通信（ΔN≥2）：衰减</w:t>
      </w:r>
    </w:p>
    <w:p>
      <w:r>
        <w:t>前端直接调用数据库：前端发送查询（N=0格式），数据库返回原始记录集（N=2格式）。|ΔN|=2，传导衰减。前端的扁平键值对结构无法无损映射到数据库的规范化关系模型——大量映射代码本质上是在弥补|ΔN|衰减造成的信息丢失。</w:t>
      </w:r>
    </w:p>
    <w:p>
      <w:pPr>
        <w:pStyle w:val="Heading3"/>
      </w:pPr>
      <w:r>
        <w:t>3.3 同层通信（ΔN=0）：风险</w:t>
      </w:r>
    </w:p>
    <w:p>
      <w:r>
        <w:t>两个微服务都处于业务层（N=1）直接互相调用。|ΔN|=0→传导效率最大化。这看似理想，实际上构成耦合陷阱——任何一方的改动都100%传导到另一方。这是分布式单体（distributed monolith）的结构成因。</w:t>
      </w:r>
    </w:p>
    <w:p>
      <w:pPr>
        <w:pStyle w:val="Heading2"/>
      </w:pPr>
      <w:r>
        <w:t>4. 经典架构模式的嵌套率重释</w:t>
      </w:r>
    </w:p>
    <w:p>
      <w:pPr>
        <w:pStyle w:val="Heading3"/>
      </w:pPr>
      <w:r>
        <w:t>4.1 分层架构 = 强制ΔN=1</w:t>
      </w:r>
    </w:p>
    <w:p>
      <w:r>
        <w:t>三层架构（Controller→Service→Repository）强制每一层只与紧邻层通信。它的真正价值不是"分离关注点"（这是表象），而是将模块间的|ΔN|锁定为1——保持最优传导梯度，同时防止跨层衰减。</w:t>
      </w:r>
    </w:p>
    <w:p>
      <w:pPr>
        <w:pStyle w:val="Heading3"/>
      </w:pPr>
      <w:r>
        <w:t>4.2 适配器模式 = 结构翻译器</w:t>
      </w:r>
    </w:p>
    <w:p>
      <w:r>
        <w:t>适配器模式（Adapter Pattern）的本质：在两个嵌套率不同的模块之间插入一个适配层，将通信的|ΔN|从2降到1。</w:t>
      </w:r>
    </w:p>
    <w:p>
      <w:pPr>
        <w:pStyle w:val="ListBullet"/>
      </w:pPr>
      <w:r>
        <w:t>旧系统（N=2的复杂数据模型）←适配器（承担翻译）→新模块（N=1的业务接口）</w:t>
      </w:r>
    </w:p>
    <w:p>
      <w:pPr>
        <w:pStyle w:val="ListBullet"/>
      </w:pPr>
      <w:r>
        <w:t>适配器将N=2的输出翻译为N=1的接口——恰好降低一层</w:t>
      </w:r>
    </w:p>
    <w:p>
      <w:r>
        <w:t>这是结构传导定律在代码层面的精确实现：适配器=嵌套率翻译器。</w:t>
      </w:r>
    </w:p>
    <w:p>
      <w:pPr>
        <w:pStyle w:val="Heading3"/>
      </w:pPr>
      <w:r>
        <w:t>4.3 BFF模式 = 前端特定嵌套率匹配</w:t>
      </w:r>
    </w:p>
    <w:p>
      <w:r>
        <w:t>Backend for Frontend：为不同前端（Web端N=0、移动端N=0、IoT端N=0.5）各自配备一个专用后端（BFF在N=1位置），每个BFF专门为特定前端的嵌套率定制API格式。</w:t>
      </w:r>
    </w:p>
    <w:p>
      <w:r>
        <w:t>结构解释：BFF的本质是确保每个前端与后端之间的|ΔN|=1。 不同前端的嵌套率微有差异（Web端比移动端更"结构化"），统一API要么对Web太简单（|ΔN|过大），要么对移动端太复杂（|ΔN|过大）。BFF为每个前端提供恰好ΔN=1的接口。</w:t>
      </w:r>
    </w:p>
    <w:p>
      <w:pPr>
        <w:pStyle w:val="Heading3"/>
      </w:pPr>
      <w:r>
        <w:t>4.4 微服务的反模式：分布式单体</w:t>
      </w:r>
    </w:p>
    <w:p>
      <w:r>
        <w:t>当多个微服务之间的嵌套率差消失（所有服务都在N=1位置互相调用），系统进入|ΔN|=0状态。传导效率最大化→任何改动都瞬间传播→所有服务必须同步部署→微服务的独立性名义上存在、实质上消失。</w:t>
      </w:r>
    </w:p>
    <w:p>
      <w:r>
        <w:t>纠正方案： 在微服务之间引入ΔN=1的通信层——不是让Service A直接调用Service B（ΔN=0），而是通过事件总线（Event Bus，N=1.5）或API网关（N=1.5）进行通信，拉开嵌套率差，引入健康的传导摩擦。</w:t>
      </w:r>
    </w:p>
    <w:p>
      <w:pPr>
        <w:pStyle w:val="Heading2"/>
      </w:pPr>
      <w:r>
        <w:t>5. 设计原则</w:t>
      </w:r>
    </w:p>
    <w:p>
      <w:r>
        <w:t>基于架构传导定律，提出三条可操作的设计原则：</w:t>
      </w:r>
    </w:p>
    <w:p>
      <w:r>
        <w:t>原则一：保持ΔN=1的模块梯度。 每一层只与紧邻层通信。不要为了"方便"让前端直接查数据库——这节省了今天的代码量，但引入了|ΔN|=2的系统性衰减，明天的维护成本指数增长。</w:t>
      </w:r>
    </w:p>
    <w:p>
      <w:r>
        <w:t>原则二：跨层需求=引入适配层。 如果一个N=0的模块确实需要N=2的数据，不要跨两层调用——在中间插入一个N=1的适配层（Adapter或BFF）。适配层是结构翻译器，承担|ΔN|衰减的转换成本。</w:t>
      </w:r>
    </w:p>
    <w:p>
      <w:r>
        <w:t>原则三：监控|ΔN|分布。 将架构中所有模块对的|ΔN|分布纳入监控。健康架构的|ΔN|分布应该在1附近集中，跨层调用（|ΔN|≥2）应该触发架构审查。同层密集互调（|ΔN|→0）是分布式单体的早期预警。</w:t>
      </w:r>
    </w:p>
    <w:p>
      <w:pPr>
        <w:pStyle w:val="Heading2"/>
      </w:pPr>
      <w:r>
        <w:t>6. 与现有理论的统一</w:t>
      </w:r>
    </w:p>
    <w:p>
      <w:r>
        <w:t>结构计算机科学不是"新范式"——它是统摄现有范式的元理论：</w:t>
      </w:r>
    </w:p>
    <w:p>
      <w:pPr>
        <w:pStyle w:val="ListBullet"/>
      </w:pPr>
      <w:r>
        <w:t>OOP（面向对象）：封装=隔离嵌套率，接口=定义ΔN=1的通信契约</w:t>
      </w:r>
    </w:p>
    <w:p>
      <w:pPr>
        <w:pStyle w:val="ListBullet"/>
      </w:pPr>
      <w:r>
        <w:t>函数式编程：纯函数=|ΔN|=0的自我完备模块，组合=构造ΔN=1的传导管道</w:t>
      </w:r>
    </w:p>
    <w:p>
      <w:pPr>
        <w:pStyle w:val="ListBullet"/>
      </w:pPr>
      <w:r>
        <w:t>DDD（领域驱动设计）：限界上下文=为每个子领域定义独立的嵌套率，上下文映射=定义跨ΔN的翻译策略</w:t>
      </w:r>
    </w:p>
    <w:p>
      <w:pPr>
        <w:pStyle w:val="ListBullet"/>
      </w:pPr>
      <w:r>
        <w:t>CQRS：命令（写操作N=1）与查询（读操作N=0）分离=为不同嵌套率的操作提供专用通道</w:t>
      </w:r>
    </w:p>
    <w:p>
      <w:r>
        <w:t>所有已知的好坏实践，都可以在架构传导定律中找到统一的数学表达。</w:t>
      </w:r>
    </w:p>
    <w:p>
      <w:pPr>
        <w:pStyle w:val="Heading2"/>
      </w:pPr>
      <w:r>
        <w:t>7. 结论</w:t>
      </w:r>
    </w:p>
    <w:p>
      <w:r>
        <w:t>结构传导定律不只适用于人类认知和AI系统——它在任何分层系统的通信中都成立。软件架构是结构的显式编码——它天然服从结构定律。</w:t>
      </w:r>
    </w:p>
    <w:p>
      <w:r>
        <w:t>分层架构、适配器模式、BFF、DDD限界上下文——这些不是工程师的经验智慧，而是结构定律在软件域的必然表现。 结构计算机科学不是增加新的设计模式，而是揭示已有模式的底层统一逻辑：一切好的架构都是降低|ΔN|到1的操作。</w:t>
      </w:r>
    </w:p>
    <w:p>
      <w:r>
        <w:t>声明： 本文为结构认知体系系列论文之一。© 2026 林小黑 (Lin Xiaohei). All rights reserved. 版权所有，转载需注明出处。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