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F4905" w14:textId="77777777" w:rsidR="00273280" w:rsidRDefault="00FE1385" w:rsidP="00273280">
      <w:pPr>
        <w:pStyle w:val="NormalWeb"/>
        <w:jc w:val="center"/>
        <w:rPr>
          <w:rFonts w:ascii="Arial" w:hAnsi="Arial" w:cs="Arial"/>
          <w:b/>
          <w:bCs/>
          <w:color w:val="800000"/>
          <w:sz w:val="36"/>
          <w:szCs w:val="36"/>
        </w:rPr>
      </w:pPr>
      <w:r>
        <w:rPr>
          <w:rFonts w:ascii="Arial" w:hAnsi="Arial" w:cs="Arial"/>
          <w:b/>
          <w:bCs/>
          <w:color w:val="800000"/>
          <w:sz w:val="36"/>
          <w:szCs w:val="36"/>
        </w:rPr>
        <w:t>RCN Screen</w:t>
      </w:r>
    </w:p>
    <w:p w14:paraId="11814279" w14:textId="77777777" w:rsidR="00FE1385" w:rsidRDefault="00FE1385" w:rsidP="00FE1385">
      <w:pPr>
        <w:pStyle w:val="NormalWeb"/>
        <w:rPr>
          <w:rFonts w:ascii="Arial" w:hAnsi="Arial" w:cs="Arial"/>
          <w:b/>
          <w:bCs/>
          <w:color w:val="008000"/>
        </w:rPr>
      </w:pPr>
      <w:bookmarkStart w:id="0" w:name="File_New"/>
      <w:bookmarkEnd w:id="0"/>
      <w:r>
        <w:rPr>
          <w:rFonts w:ascii="Arial" w:hAnsi="Arial" w:cs="Arial"/>
          <w:b/>
          <w:bCs/>
          <w:color w:val="008000"/>
        </w:rPr>
        <w:t>Data Entry</w:t>
      </w:r>
    </w:p>
    <w:p w14:paraId="26DFE6F6" w14:textId="77777777" w:rsidR="00FE1385" w:rsidRPr="00FE1385" w:rsidRDefault="00FE1385" w:rsidP="00FE1385">
      <w:pPr>
        <w:pStyle w:val="NormalWeb"/>
        <w:rPr>
          <w:rFonts w:asciiTheme="minorHAnsi" w:hAnsiTheme="minorHAnsi" w:cs="Arial"/>
        </w:rPr>
      </w:pPr>
      <w:r w:rsidRPr="00FE1385">
        <w:rPr>
          <w:rFonts w:asciiTheme="minorHAnsi" w:hAnsiTheme="minorHAnsi" w:cs="Arial"/>
        </w:rPr>
        <w:t xml:space="preserve">Fields on this screen respond slightly different to keystrokes than previous screens. See the </w:t>
      </w:r>
      <w:hyperlink r:id="rId5" w:history="1">
        <w:r w:rsidRPr="00FE1385">
          <w:rPr>
            <w:rStyle w:val="Hyperlink"/>
            <w:rFonts w:asciiTheme="minorHAnsi" w:hAnsiTheme="minorHAnsi" w:cs="Arial"/>
          </w:rPr>
          <w:t>General</w:t>
        </w:r>
      </w:hyperlink>
      <w:r w:rsidRPr="00FE1385">
        <w:rPr>
          <w:rFonts w:asciiTheme="minorHAnsi" w:hAnsiTheme="minorHAnsi" w:cs="Arial"/>
        </w:rPr>
        <w:t xml:space="preserve"> data entry help screen for function details of keys.</w:t>
      </w:r>
    </w:p>
    <w:p w14:paraId="76AC3E62" w14:textId="77777777" w:rsidR="00FE1385" w:rsidRDefault="00FE1385" w:rsidP="00FE1385">
      <w:pPr>
        <w:pStyle w:val="NormalWeb"/>
        <w:rPr>
          <w:rFonts w:ascii="Arial" w:hAnsi="Arial" w:cs="Arial"/>
          <w:b/>
          <w:bCs/>
          <w:color w:val="008000"/>
        </w:rPr>
      </w:pPr>
      <w:r>
        <w:rPr>
          <w:rFonts w:ascii="Arial" w:hAnsi="Arial" w:cs="Arial"/>
          <w:b/>
          <w:bCs/>
          <w:color w:val="008000"/>
        </w:rPr>
        <w:t>Radio Buttons</w:t>
      </w:r>
    </w:p>
    <w:p w14:paraId="48E23FB2" w14:textId="335B6276" w:rsidR="00FE1385" w:rsidRDefault="00FE1385" w:rsidP="00FE1385">
      <w:pPr>
        <w:pStyle w:val="NormalWeb"/>
        <w:rPr>
          <w:rFonts w:asciiTheme="minorHAnsi" w:hAnsiTheme="minorHAnsi" w:cs="Arial"/>
        </w:rPr>
      </w:pPr>
      <w:r w:rsidRPr="00FE1385">
        <w:rPr>
          <w:rFonts w:asciiTheme="minorHAnsi" w:hAnsiTheme="minorHAnsi" w:cs="Arial"/>
        </w:rPr>
        <w:t xml:space="preserve">The radio buttons at the top of the entry screen allow the user to </w:t>
      </w:r>
      <w:r w:rsidR="008B784D">
        <w:rPr>
          <w:rFonts w:asciiTheme="minorHAnsi" w:hAnsiTheme="minorHAnsi" w:cs="Arial"/>
        </w:rPr>
        <w:t>jump directly to the beginning of each Cover Description list under each specific Land Use type.  Cover descriptions are given for the following Land Use types:</w:t>
      </w:r>
    </w:p>
    <w:p w14:paraId="53DD2A0C" w14:textId="65967384" w:rsidR="008B784D" w:rsidRDefault="008B784D" w:rsidP="008B784D">
      <w:pPr>
        <w:pStyle w:val="NormalWeb"/>
        <w:numPr>
          <w:ilvl w:val="0"/>
          <w:numId w:val="1"/>
        </w:numPr>
        <w:rPr>
          <w:rFonts w:asciiTheme="minorHAnsi" w:hAnsiTheme="minorHAnsi" w:cs="Arial"/>
        </w:rPr>
      </w:pPr>
      <w:r>
        <w:rPr>
          <w:rFonts w:asciiTheme="minorHAnsi" w:hAnsiTheme="minorHAnsi" w:cs="Arial"/>
        </w:rPr>
        <w:t>Urban Area</w:t>
      </w:r>
    </w:p>
    <w:p w14:paraId="58B6C65C" w14:textId="0D5DE13C" w:rsidR="008B784D" w:rsidRDefault="008B784D" w:rsidP="008B784D">
      <w:pPr>
        <w:pStyle w:val="NormalWeb"/>
        <w:numPr>
          <w:ilvl w:val="0"/>
          <w:numId w:val="1"/>
        </w:numPr>
        <w:rPr>
          <w:rFonts w:asciiTheme="minorHAnsi" w:hAnsiTheme="minorHAnsi" w:cs="Arial"/>
        </w:rPr>
      </w:pPr>
      <w:r>
        <w:rPr>
          <w:rFonts w:asciiTheme="minorHAnsi" w:hAnsiTheme="minorHAnsi" w:cs="Arial"/>
        </w:rPr>
        <w:t>Developing Urban</w:t>
      </w:r>
    </w:p>
    <w:p w14:paraId="7D002122" w14:textId="57B35BA3" w:rsidR="008B784D" w:rsidRDefault="008B784D" w:rsidP="008B784D">
      <w:pPr>
        <w:pStyle w:val="NormalWeb"/>
        <w:numPr>
          <w:ilvl w:val="0"/>
          <w:numId w:val="1"/>
        </w:numPr>
        <w:rPr>
          <w:rFonts w:asciiTheme="minorHAnsi" w:hAnsiTheme="minorHAnsi" w:cs="Arial"/>
        </w:rPr>
      </w:pPr>
      <w:r>
        <w:rPr>
          <w:rFonts w:asciiTheme="minorHAnsi" w:hAnsiTheme="minorHAnsi" w:cs="Arial"/>
        </w:rPr>
        <w:t>Cultivated Agriculture</w:t>
      </w:r>
    </w:p>
    <w:p w14:paraId="16CF55AF" w14:textId="224B92AF" w:rsidR="008B784D" w:rsidRDefault="008B784D" w:rsidP="008B784D">
      <w:pPr>
        <w:pStyle w:val="NormalWeb"/>
        <w:numPr>
          <w:ilvl w:val="0"/>
          <w:numId w:val="1"/>
        </w:numPr>
        <w:rPr>
          <w:rFonts w:asciiTheme="minorHAnsi" w:hAnsiTheme="minorHAnsi" w:cs="Arial"/>
        </w:rPr>
      </w:pPr>
      <w:r>
        <w:rPr>
          <w:rFonts w:asciiTheme="minorHAnsi" w:hAnsiTheme="minorHAnsi" w:cs="Arial"/>
        </w:rPr>
        <w:t>Other Agriculture</w:t>
      </w:r>
    </w:p>
    <w:p w14:paraId="4846F627" w14:textId="1BAD94D9" w:rsidR="008B784D" w:rsidRDefault="008B784D" w:rsidP="008B784D">
      <w:pPr>
        <w:pStyle w:val="NormalWeb"/>
        <w:numPr>
          <w:ilvl w:val="0"/>
          <w:numId w:val="1"/>
        </w:numPr>
        <w:rPr>
          <w:rFonts w:asciiTheme="minorHAnsi" w:hAnsiTheme="minorHAnsi" w:cs="Arial"/>
        </w:rPr>
      </w:pPr>
      <w:r>
        <w:rPr>
          <w:rFonts w:asciiTheme="minorHAnsi" w:hAnsiTheme="minorHAnsi" w:cs="Arial"/>
        </w:rPr>
        <w:t>Arid Rangeland</w:t>
      </w:r>
    </w:p>
    <w:p w14:paraId="6D3419FA" w14:textId="5E0FD34F" w:rsidR="008B784D" w:rsidRPr="00FE1385" w:rsidRDefault="008B784D" w:rsidP="008B784D">
      <w:pPr>
        <w:pStyle w:val="NormalWeb"/>
        <w:rPr>
          <w:rFonts w:asciiTheme="minorHAnsi" w:hAnsiTheme="minorHAnsi" w:cs="Arial"/>
        </w:rPr>
      </w:pPr>
      <w:r>
        <w:rPr>
          <w:rFonts w:asciiTheme="minorHAnsi" w:hAnsiTheme="minorHAnsi" w:cs="Arial"/>
        </w:rPr>
        <w:t>The vertical scroll bar along the right side of the Cover Description window allows the user to manually scroll through the table entries.</w:t>
      </w:r>
    </w:p>
    <w:p w14:paraId="2AB26083" w14:textId="77777777" w:rsidR="00FE1385" w:rsidRDefault="00FE1385" w:rsidP="00FE1385">
      <w:pPr>
        <w:pStyle w:val="NormalWeb"/>
        <w:rPr>
          <w:rFonts w:ascii="Arial" w:hAnsi="Arial" w:cs="Arial"/>
          <w:b/>
          <w:bCs/>
          <w:color w:val="008000"/>
        </w:rPr>
      </w:pPr>
      <w:bookmarkStart w:id="1" w:name="_Hlk68160713"/>
      <w:r>
        <w:rPr>
          <w:rFonts w:ascii="Arial" w:hAnsi="Arial" w:cs="Arial"/>
          <w:b/>
          <w:bCs/>
          <w:color w:val="008000"/>
        </w:rPr>
        <w:t>Acres or Percentage (Radio buttons)</w:t>
      </w:r>
    </w:p>
    <w:p w14:paraId="182D5B0F" w14:textId="77777777" w:rsidR="00FE1385" w:rsidRPr="00FE1385" w:rsidRDefault="00FE1385" w:rsidP="00FE1385">
      <w:pPr>
        <w:pStyle w:val="NormalWeb"/>
        <w:rPr>
          <w:rFonts w:asciiTheme="minorHAnsi" w:hAnsiTheme="minorHAnsi" w:cs="Arial"/>
        </w:rPr>
      </w:pPr>
      <w:r w:rsidRPr="00FE1385">
        <w:rPr>
          <w:rFonts w:asciiTheme="minorHAnsi" w:hAnsiTheme="minorHAnsi" w:cs="Arial"/>
        </w:rPr>
        <w:t xml:space="preserve">The radio buttons in the lower left portion of the screen switches between acres or percentages for the data entry. If there is previous data existing, the user will be prompted for the method of converting, if desired, the previous data to the new mode. </w:t>
      </w:r>
    </w:p>
    <w:bookmarkEnd w:id="1"/>
    <w:p w14:paraId="642DD6AA" w14:textId="48D26242" w:rsidR="00290C93" w:rsidRDefault="00290C93" w:rsidP="00290C93">
      <w:pPr>
        <w:pStyle w:val="NormalWeb"/>
        <w:rPr>
          <w:rFonts w:ascii="Arial" w:hAnsi="Arial" w:cs="Arial"/>
          <w:b/>
          <w:bCs/>
          <w:color w:val="008000"/>
        </w:rPr>
      </w:pPr>
      <w:r>
        <w:rPr>
          <w:rFonts w:ascii="Arial" w:hAnsi="Arial" w:cs="Arial"/>
          <w:b/>
          <w:bCs/>
          <w:color w:val="008000"/>
        </w:rPr>
        <w:t>Weighted Curve Number</w:t>
      </w:r>
    </w:p>
    <w:p w14:paraId="4D913723" w14:textId="33666FCC" w:rsidR="00290C93" w:rsidRPr="00FE1385" w:rsidRDefault="00290C93" w:rsidP="00290C93">
      <w:pPr>
        <w:pStyle w:val="NormalWeb"/>
        <w:rPr>
          <w:rFonts w:asciiTheme="minorHAnsi" w:hAnsiTheme="minorHAnsi" w:cs="Arial"/>
        </w:rPr>
      </w:pPr>
      <w:r w:rsidRPr="00FE1385">
        <w:rPr>
          <w:rFonts w:asciiTheme="minorHAnsi" w:hAnsiTheme="minorHAnsi" w:cs="Arial"/>
        </w:rPr>
        <w:t xml:space="preserve">The </w:t>
      </w:r>
      <w:r>
        <w:rPr>
          <w:rFonts w:asciiTheme="minorHAnsi" w:hAnsiTheme="minorHAnsi" w:cs="Arial"/>
        </w:rPr>
        <w:t xml:space="preserve">Weighted Curve Number for the watershed is computed automatically as the user enters land use/hydrologic soil group data and displayed </w:t>
      </w:r>
      <w:r w:rsidR="003F43C9">
        <w:rPr>
          <w:rFonts w:asciiTheme="minorHAnsi" w:hAnsiTheme="minorHAnsi" w:cs="Arial"/>
        </w:rPr>
        <w:t xml:space="preserve">at the bottom center of the </w:t>
      </w:r>
      <w:r w:rsidR="003F43C9" w:rsidRPr="000037AE">
        <w:rPr>
          <w:rFonts w:asciiTheme="minorHAnsi" w:hAnsiTheme="minorHAnsi" w:cs="Arial"/>
          <w:b/>
          <w:bCs/>
        </w:rPr>
        <w:t>RCN tab</w:t>
      </w:r>
      <w:r w:rsidRPr="00FE1385">
        <w:rPr>
          <w:rFonts w:asciiTheme="minorHAnsi" w:hAnsiTheme="minorHAnsi" w:cs="Arial"/>
        </w:rPr>
        <w:t xml:space="preserve">. </w:t>
      </w:r>
    </w:p>
    <w:p w14:paraId="7B2AEDE2" w14:textId="7CBEAE20" w:rsidR="008B784D" w:rsidRDefault="008B784D" w:rsidP="008B784D">
      <w:pPr>
        <w:pStyle w:val="NormalWeb"/>
        <w:rPr>
          <w:rFonts w:ascii="Arial" w:hAnsi="Arial" w:cs="Arial"/>
          <w:b/>
          <w:bCs/>
          <w:color w:val="008000"/>
        </w:rPr>
      </w:pPr>
      <w:r>
        <w:rPr>
          <w:rFonts w:ascii="Arial" w:hAnsi="Arial" w:cs="Arial"/>
          <w:b/>
          <w:bCs/>
          <w:color w:val="008000"/>
        </w:rPr>
        <w:t>Accumulated Area</w:t>
      </w:r>
    </w:p>
    <w:p w14:paraId="38F4EB64" w14:textId="2BAFD0BE" w:rsidR="008B784D" w:rsidRPr="00FE1385" w:rsidRDefault="008B784D" w:rsidP="008B784D">
      <w:pPr>
        <w:pStyle w:val="NormalWeb"/>
        <w:rPr>
          <w:rFonts w:asciiTheme="minorHAnsi" w:hAnsiTheme="minorHAnsi" w:cs="Arial"/>
        </w:rPr>
      </w:pPr>
      <w:r w:rsidRPr="00FE1385">
        <w:rPr>
          <w:rFonts w:asciiTheme="minorHAnsi" w:hAnsiTheme="minorHAnsi" w:cs="Arial"/>
        </w:rPr>
        <w:t xml:space="preserve">The </w:t>
      </w:r>
      <w:r>
        <w:rPr>
          <w:rFonts w:asciiTheme="minorHAnsi" w:hAnsiTheme="minorHAnsi" w:cs="Arial"/>
        </w:rPr>
        <w:t xml:space="preserve">total Accumulated Area of the watershed is calculated as the user enters land use/hydrologic soil group data and displayed at the bottom center of the </w:t>
      </w:r>
      <w:r w:rsidR="003F43C9">
        <w:rPr>
          <w:rFonts w:asciiTheme="minorHAnsi" w:hAnsiTheme="minorHAnsi" w:cs="Arial"/>
        </w:rPr>
        <w:t xml:space="preserve">of the </w:t>
      </w:r>
      <w:r w:rsidR="003F43C9" w:rsidRPr="000037AE">
        <w:rPr>
          <w:rFonts w:asciiTheme="minorHAnsi" w:hAnsiTheme="minorHAnsi" w:cs="Arial"/>
          <w:b/>
          <w:bCs/>
        </w:rPr>
        <w:t>RCN tab</w:t>
      </w:r>
      <w:r w:rsidRPr="00FE1385">
        <w:rPr>
          <w:rFonts w:asciiTheme="minorHAnsi" w:hAnsiTheme="minorHAnsi" w:cs="Arial"/>
        </w:rPr>
        <w:t xml:space="preserve">. </w:t>
      </w:r>
      <w:r>
        <w:rPr>
          <w:rFonts w:asciiTheme="minorHAnsi" w:hAnsiTheme="minorHAnsi" w:cs="Arial"/>
        </w:rPr>
        <w:t xml:space="preserve"> This total includes all land use descriptions used to describe the watershed drainage area.  As additional areas are entered or deleted, the summary values change.  If both boxes are blank, no detailed land use description data has been entered for this subarea.</w:t>
      </w:r>
    </w:p>
    <w:p w14:paraId="27E352D3" w14:textId="79A087DA" w:rsidR="000037AE" w:rsidRDefault="000037AE" w:rsidP="000037AE">
      <w:pPr>
        <w:pStyle w:val="NormalWeb"/>
        <w:rPr>
          <w:rFonts w:ascii="Arial" w:hAnsi="Arial" w:cs="Arial"/>
          <w:b/>
          <w:bCs/>
          <w:color w:val="008000"/>
        </w:rPr>
      </w:pPr>
      <w:r>
        <w:rPr>
          <w:rFonts w:ascii="Arial" w:hAnsi="Arial" w:cs="Arial"/>
          <w:b/>
          <w:bCs/>
          <w:color w:val="008000"/>
        </w:rPr>
        <w:t>Acc</w:t>
      </w:r>
      <w:r>
        <w:rPr>
          <w:rFonts w:ascii="Arial" w:hAnsi="Arial" w:cs="Arial"/>
          <w:b/>
          <w:bCs/>
          <w:color w:val="008000"/>
        </w:rPr>
        <w:t>ept button</w:t>
      </w:r>
    </w:p>
    <w:p w14:paraId="56ED3D18" w14:textId="61944118" w:rsidR="000037AE" w:rsidRDefault="000037AE" w:rsidP="000037AE">
      <w:pPr>
        <w:pStyle w:val="NormalWeb"/>
        <w:rPr>
          <w:rFonts w:asciiTheme="minorHAnsi" w:hAnsiTheme="minorHAnsi" w:cs="Arial"/>
        </w:rPr>
      </w:pPr>
      <w:r>
        <w:rPr>
          <w:rFonts w:asciiTheme="minorHAnsi" w:hAnsiTheme="minorHAnsi" w:cs="Arial"/>
        </w:rPr>
        <w:t xml:space="preserve">Click the Accept button to retain all data entered on the window and transfer appropriate values for drainage area and runoff curve number to the </w:t>
      </w:r>
      <w:r w:rsidRPr="000037AE">
        <w:rPr>
          <w:rFonts w:asciiTheme="minorHAnsi" w:hAnsiTheme="minorHAnsi" w:cs="Arial"/>
          <w:b/>
          <w:bCs/>
        </w:rPr>
        <w:t>Basic data</w:t>
      </w:r>
      <w:r>
        <w:rPr>
          <w:rFonts w:asciiTheme="minorHAnsi" w:hAnsiTheme="minorHAnsi" w:cs="Arial"/>
        </w:rPr>
        <w:t xml:space="preserve"> tab</w:t>
      </w:r>
      <w:r>
        <w:rPr>
          <w:rFonts w:asciiTheme="minorHAnsi" w:hAnsiTheme="minorHAnsi" w:cs="Arial"/>
        </w:rPr>
        <w:t>.</w:t>
      </w:r>
    </w:p>
    <w:p w14:paraId="5CACD46C" w14:textId="77777777" w:rsidR="000037AE" w:rsidRDefault="000037AE" w:rsidP="000037AE">
      <w:pPr>
        <w:pStyle w:val="NormalWeb"/>
        <w:rPr>
          <w:rFonts w:ascii="Arial" w:hAnsi="Arial" w:cs="Arial"/>
          <w:b/>
          <w:bCs/>
          <w:color w:val="008000"/>
        </w:rPr>
      </w:pPr>
      <w:r>
        <w:rPr>
          <w:rFonts w:ascii="Arial" w:hAnsi="Arial" w:cs="Arial"/>
          <w:b/>
          <w:bCs/>
          <w:color w:val="008000"/>
        </w:rPr>
        <w:br/>
        <w:t>Clear button</w:t>
      </w:r>
    </w:p>
    <w:p w14:paraId="0F4BB700" w14:textId="2C8146FD" w:rsidR="000037AE" w:rsidRPr="00FE1385" w:rsidRDefault="000037AE" w:rsidP="000037AE">
      <w:pPr>
        <w:pStyle w:val="NormalWeb"/>
        <w:rPr>
          <w:rFonts w:asciiTheme="minorHAnsi" w:hAnsiTheme="minorHAnsi" w:cs="Arial"/>
        </w:rPr>
      </w:pPr>
      <w:r>
        <w:rPr>
          <w:rFonts w:asciiTheme="minorHAnsi" w:hAnsiTheme="minorHAnsi" w:cs="Arial"/>
        </w:rPr>
        <w:t>Clicking on the Clear button will clear all data entries of area by land use previously entered</w:t>
      </w:r>
      <w:r>
        <w:rPr>
          <w:rFonts w:asciiTheme="minorHAnsi" w:hAnsiTheme="minorHAnsi" w:cs="Arial"/>
        </w:rPr>
        <w:t>.</w:t>
      </w:r>
    </w:p>
    <w:p w14:paraId="4E68FFAD" w14:textId="77777777" w:rsidR="000037AE" w:rsidRPr="00FE1385" w:rsidRDefault="000037AE" w:rsidP="000037AE">
      <w:pPr>
        <w:pStyle w:val="NormalWeb"/>
        <w:rPr>
          <w:rFonts w:asciiTheme="minorHAnsi" w:hAnsiTheme="minorHAnsi" w:cs="Arial"/>
        </w:rPr>
      </w:pPr>
    </w:p>
    <w:p w14:paraId="1F0AFD48" w14:textId="77777777" w:rsidR="00B82363" w:rsidRPr="00B82363" w:rsidRDefault="00B82363" w:rsidP="00632C15">
      <w:pPr>
        <w:pStyle w:val="NormalWeb"/>
        <w:rPr>
          <w:rFonts w:asciiTheme="minorHAnsi" w:hAnsiTheme="minorHAnsi" w:cs="Arial"/>
        </w:rPr>
      </w:pPr>
    </w:p>
    <w:sectPr w:rsidR="00B82363" w:rsidRPr="00B82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E2A68"/>
    <w:multiLevelType w:val="hybridMultilevel"/>
    <w:tmpl w:val="0508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236"/>
    <w:rsid w:val="000037AE"/>
    <w:rsid w:val="00044AF5"/>
    <w:rsid w:val="00210FA6"/>
    <w:rsid w:val="00227F8F"/>
    <w:rsid w:val="00273280"/>
    <w:rsid w:val="00281AA1"/>
    <w:rsid w:val="00290C93"/>
    <w:rsid w:val="003F43C9"/>
    <w:rsid w:val="00466B43"/>
    <w:rsid w:val="00476A40"/>
    <w:rsid w:val="005925BC"/>
    <w:rsid w:val="00632C15"/>
    <w:rsid w:val="006611AC"/>
    <w:rsid w:val="008B784D"/>
    <w:rsid w:val="009C5AAA"/>
    <w:rsid w:val="009E207A"/>
    <w:rsid w:val="00A934FD"/>
    <w:rsid w:val="00A93801"/>
    <w:rsid w:val="00B64DC5"/>
    <w:rsid w:val="00B82363"/>
    <w:rsid w:val="00BB3823"/>
    <w:rsid w:val="00D569B5"/>
    <w:rsid w:val="00DA7236"/>
    <w:rsid w:val="00DC3E99"/>
    <w:rsid w:val="00E2305A"/>
    <w:rsid w:val="00FB488D"/>
    <w:rsid w:val="00FE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63BC"/>
  <w15:chartTrackingRefBased/>
  <w15:docId w15:val="{4D81AEAC-E6DC-4647-BB6B-40E7A8DF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A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2363"/>
    <w:rPr>
      <w:color w:val="0000FF"/>
      <w:u w:val="single"/>
    </w:rPr>
  </w:style>
  <w:style w:type="table" w:styleId="TableGrid">
    <w:name w:val="Table Grid"/>
    <w:basedOn w:val="TableNormal"/>
    <w:uiPriority w:val="39"/>
    <w:rsid w:val="00B8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78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8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98202">
      <w:bodyDiv w:val="1"/>
      <w:marLeft w:val="0"/>
      <w:marRight w:val="0"/>
      <w:marTop w:val="0"/>
      <w:marBottom w:val="0"/>
      <w:divBdr>
        <w:top w:val="none" w:sz="0" w:space="0" w:color="auto"/>
        <w:left w:val="none" w:sz="0" w:space="0" w:color="auto"/>
        <w:bottom w:val="none" w:sz="0" w:space="0" w:color="auto"/>
        <w:right w:val="none" w:sz="0" w:space="0" w:color="auto"/>
      </w:divBdr>
    </w:div>
    <w:div w:id="606741657">
      <w:bodyDiv w:val="1"/>
      <w:marLeft w:val="0"/>
      <w:marRight w:val="0"/>
      <w:marTop w:val="0"/>
      <w:marBottom w:val="0"/>
      <w:divBdr>
        <w:top w:val="none" w:sz="0" w:space="0" w:color="auto"/>
        <w:left w:val="none" w:sz="0" w:space="0" w:color="auto"/>
        <w:bottom w:val="none" w:sz="0" w:space="0" w:color="auto"/>
        <w:right w:val="none" w:sz="0" w:space="0" w:color="auto"/>
      </w:divBdr>
    </w:div>
    <w:div w:id="685135607">
      <w:bodyDiv w:val="1"/>
      <w:marLeft w:val="0"/>
      <w:marRight w:val="0"/>
      <w:marTop w:val="0"/>
      <w:marBottom w:val="0"/>
      <w:divBdr>
        <w:top w:val="none" w:sz="0" w:space="0" w:color="auto"/>
        <w:left w:val="none" w:sz="0" w:space="0" w:color="auto"/>
        <w:bottom w:val="none" w:sz="0" w:space="0" w:color="auto"/>
        <w:right w:val="none" w:sz="0" w:space="0" w:color="auto"/>
      </w:divBdr>
    </w:div>
    <w:div w:id="802696766">
      <w:bodyDiv w:val="1"/>
      <w:marLeft w:val="0"/>
      <w:marRight w:val="0"/>
      <w:marTop w:val="0"/>
      <w:marBottom w:val="0"/>
      <w:divBdr>
        <w:top w:val="none" w:sz="0" w:space="0" w:color="auto"/>
        <w:left w:val="none" w:sz="0" w:space="0" w:color="auto"/>
        <w:bottom w:val="none" w:sz="0" w:space="0" w:color="auto"/>
        <w:right w:val="none" w:sz="0" w:space="0" w:color="auto"/>
      </w:divBdr>
    </w:div>
    <w:div w:id="920139758">
      <w:bodyDiv w:val="1"/>
      <w:marLeft w:val="0"/>
      <w:marRight w:val="0"/>
      <w:marTop w:val="0"/>
      <w:marBottom w:val="0"/>
      <w:divBdr>
        <w:top w:val="none" w:sz="0" w:space="0" w:color="auto"/>
        <w:left w:val="none" w:sz="0" w:space="0" w:color="auto"/>
        <w:bottom w:val="none" w:sz="0" w:space="0" w:color="auto"/>
        <w:right w:val="none" w:sz="0" w:space="0" w:color="auto"/>
      </w:divBdr>
    </w:div>
    <w:div w:id="1014654033">
      <w:bodyDiv w:val="1"/>
      <w:marLeft w:val="0"/>
      <w:marRight w:val="0"/>
      <w:marTop w:val="0"/>
      <w:marBottom w:val="0"/>
      <w:divBdr>
        <w:top w:val="none" w:sz="0" w:space="0" w:color="auto"/>
        <w:left w:val="none" w:sz="0" w:space="0" w:color="auto"/>
        <w:bottom w:val="none" w:sz="0" w:space="0" w:color="auto"/>
        <w:right w:val="none" w:sz="0" w:space="0" w:color="auto"/>
      </w:divBdr>
    </w:div>
    <w:div w:id="1407337954">
      <w:bodyDiv w:val="1"/>
      <w:marLeft w:val="0"/>
      <w:marRight w:val="0"/>
      <w:marTop w:val="0"/>
      <w:marBottom w:val="0"/>
      <w:divBdr>
        <w:top w:val="none" w:sz="0" w:space="0" w:color="auto"/>
        <w:left w:val="none" w:sz="0" w:space="0" w:color="auto"/>
        <w:bottom w:val="none" w:sz="0" w:space="0" w:color="auto"/>
        <w:right w:val="none" w:sz="0" w:space="0" w:color="auto"/>
      </w:divBdr>
    </w:div>
    <w:div w:id="1611206883">
      <w:bodyDiv w:val="1"/>
      <w:marLeft w:val="0"/>
      <w:marRight w:val="0"/>
      <w:marTop w:val="0"/>
      <w:marBottom w:val="0"/>
      <w:divBdr>
        <w:top w:val="none" w:sz="0" w:space="0" w:color="auto"/>
        <w:left w:val="none" w:sz="0" w:space="0" w:color="auto"/>
        <w:bottom w:val="none" w:sz="0" w:space="0" w:color="auto"/>
        <w:right w:val="none" w:sz="0" w:space="0" w:color="auto"/>
      </w:divBdr>
    </w:div>
    <w:div w:id="2006393745">
      <w:bodyDiv w:val="1"/>
      <w:marLeft w:val="0"/>
      <w:marRight w:val="0"/>
      <w:marTop w:val="0"/>
      <w:marBottom w:val="0"/>
      <w:divBdr>
        <w:top w:val="none" w:sz="0" w:space="0" w:color="auto"/>
        <w:left w:val="none" w:sz="0" w:space="0" w:color="auto"/>
        <w:bottom w:val="none" w:sz="0" w:space="0" w:color="auto"/>
        <w:right w:val="none" w:sz="0" w:space="0" w:color="auto"/>
      </w:divBdr>
    </w:div>
    <w:div w:id="2117823525">
      <w:bodyDiv w:val="1"/>
      <w:marLeft w:val="0"/>
      <w:marRight w:val="0"/>
      <w:marTop w:val="0"/>
      <w:marBottom w:val="0"/>
      <w:divBdr>
        <w:top w:val="none" w:sz="0" w:space="0" w:color="auto"/>
        <w:left w:val="none" w:sz="0" w:space="0" w:color="auto"/>
        <w:bottom w:val="none" w:sz="0" w:space="0" w:color="auto"/>
        <w:right w:val="none" w:sz="0" w:space="0" w:color="auto"/>
      </w:divBdr>
    </w:div>
    <w:div w:id="211937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k:@MSITStore:C:\Program%20Files%20(x86)\USDA\EFH2\EFH2.chm::/General%20Data%20Entry.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Quan - NRCS, Beltsville, MD</dc:creator>
  <cp:keywords/>
  <dc:description/>
  <cp:lastModifiedBy>Quan, Quan - NRCS, Beltsville, MD</cp:lastModifiedBy>
  <cp:revision>5</cp:revision>
  <dcterms:created xsi:type="dcterms:W3CDTF">2018-09-14T17:03:00Z</dcterms:created>
  <dcterms:modified xsi:type="dcterms:W3CDTF">2021-04-01T13:18:00Z</dcterms:modified>
</cp:coreProperties>
</file>