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A66ED" w14:textId="77777777" w:rsidR="00273280" w:rsidRDefault="00273280" w:rsidP="00273280">
      <w:pPr>
        <w:pStyle w:val="NormalWeb"/>
        <w:jc w:val="center"/>
        <w:rPr>
          <w:rFonts w:ascii="Arial" w:hAnsi="Arial" w:cs="Arial"/>
          <w:b/>
          <w:bCs/>
          <w:color w:val="800000"/>
          <w:sz w:val="36"/>
          <w:szCs w:val="36"/>
        </w:rPr>
      </w:pPr>
      <w:r>
        <w:rPr>
          <w:rFonts w:ascii="Arial" w:hAnsi="Arial" w:cs="Arial"/>
          <w:b/>
          <w:bCs/>
          <w:color w:val="800000"/>
          <w:sz w:val="36"/>
          <w:szCs w:val="36"/>
        </w:rPr>
        <w:t>Menu "</w:t>
      </w:r>
      <w:r w:rsidR="00A934FD">
        <w:rPr>
          <w:rFonts w:ascii="Arial" w:hAnsi="Arial" w:cs="Arial"/>
          <w:b/>
          <w:bCs/>
          <w:color w:val="800000"/>
          <w:sz w:val="36"/>
          <w:szCs w:val="36"/>
        </w:rPr>
        <w:t>Tools</w:t>
      </w:r>
      <w:r>
        <w:rPr>
          <w:rFonts w:ascii="Arial" w:hAnsi="Arial" w:cs="Arial"/>
          <w:b/>
          <w:bCs/>
          <w:color w:val="800000"/>
          <w:sz w:val="36"/>
          <w:szCs w:val="36"/>
        </w:rPr>
        <w:t>"</w:t>
      </w:r>
    </w:p>
    <w:p w14:paraId="7ABB5E4C" w14:textId="77777777" w:rsidR="00A934FD" w:rsidRPr="00A934FD" w:rsidRDefault="00A934FD" w:rsidP="00A934FD">
      <w:pPr>
        <w:spacing w:before="100" w:beforeAutospacing="1" w:after="100" w:afterAutospacing="1" w:line="240" w:lineRule="auto"/>
        <w:outlineLvl w:val="2"/>
        <w:rPr>
          <w:rFonts w:ascii="Arial" w:eastAsia="Times New Roman" w:hAnsi="Arial" w:cs="Arial"/>
          <w:b/>
          <w:bCs/>
          <w:color w:val="008000"/>
          <w:sz w:val="27"/>
          <w:szCs w:val="27"/>
        </w:rPr>
      </w:pPr>
      <w:bookmarkStart w:id="0" w:name="File_New"/>
      <w:bookmarkEnd w:id="0"/>
      <w:r>
        <w:rPr>
          <w:rFonts w:ascii="Arial" w:eastAsia="Times New Roman" w:hAnsi="Arial" w:cs="Arial"/>
          <w:b/>
          <w:bCs/>
          <w:noProof/>
          <w:color w:val="008000"/>
          <w:sz w:val="27"/>
          <w:szCs w:val="27"/>
        </w:rPr>
        <w:drawing>
          <wp:inline distT="0" distB="0" distL="0" distR="0" wp14:anchorId="7BA91DDB" wp14:editId="21EB506C">
            <wp:extent cx="247685" cy="20005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ope.PNG"/>
                    <pic:cNvPicPr/>
                  </pic:nvPicPr>
                  <pic:blipFill>
                    <a:blip r:embed="rId4">
                      <a:extLst>
                        <a:ext uri="{28A0092B-C50C-407E-A947-70E740481C1C}">
                          <a14:useLocalDpi xmlns:a14="http://schemas.microsoft.com/office/drawing/2010/main" val="0"/>
                        </a:ext>
                      </a:extLst>
                    </a:blip>
                    <a:stretch>
                      <a:fillRect/>
                    </a:stretch>
                  </pic:blipFill>
                  <pic:spPr>
                    <a:xfrm>
                      <a:off x="0" y="0"/>
                      <a:ext cx="247685" cy="200053"/>
                    </a:xfrm>
                    <a:prstGeom prst="rect">
                      <a:avLst/>
                    </a:prstGeom>
                  </pic:spPr>
                </pic:pic>
              </a:graphicData>
            </a:graphic>
          </wp:inline>
        </w:drawing>
      </w:r>
      <w:r>
        <w:rPr>
          <w:rFonts w:ascii="Arial" w:eastAsia="Times New Roman" w:hAnsi="Arial" w:cs="Arial"/>
          <w:b/>
          <w:bCs/>
          <w:color w:val="008000"/>
          <w:sz w:val="27"/>
          <w:szCs w:val="27"/>
        </w:rPr>
        <w:t xml:space="preserve">  </w:t>
      </w:r>
      <w:r w:rsidRPr="00A934FD">
        <w:rPr>
          <w:rFonts w:ascii="Arial" w:eastAsia="Times New Roman" w:hAnsi="Arial" w:cs="Arial"/>
          <w:b/>
          <w:bCs/>
          <w:color w:val="008000"/>
          <w:sz w:val="27"/>
          <w:szCs w:val="27"/>
        </w:rPr>
        <w:t>Average Slope Calculator</w:t>
      </w:r>
    </w:p>
    <w:p w14:paraId="011D7F67" w14:textId="77777777" w:rsidR="00A934FD" w:rsidRPr="00A934FD" w:rsidRDefault="00A934FD" w:rsidP="00A934FD">
      <w:pPr>
        <w:spacing w:before="100" w:beforeAutospacing="1" w:after="100" w:afterAutospacing="1" w:line="240" w:lineRule="auto"/>
        <w:rPr>
          <w:rFonts w:eastAsia="Times New Roman" w:cs="Arial"/>
          <w:sz w:val="24"/>
          <w:szCs w:val="24"/>
        </w:rPr>
      </w:pPr>
      <w:r w:rsidRPr="00A934FD">
        <w:rPr>
          <w:rFonts w:eastAsia="Times New Roman" w:cs="Arial"/>
          <w:sz w:val="24"/>
          <w:szCs w:val="24"/>
        </w:rPr>
        <w:t>This command is available only when the ‘Basic Data’ tab is activated. Use this command to open the average slope calculator dialog window. This window allows the user to determine the average watershed slope using the sum of the length of all the contours within the drainage area boundary and the associated contour interval. This calculation uses the following formula:</w:t>
      </w:r>
    </w:p>
    <w:p w14:paraId="63AD3435" w14:textId="77777777" w:rsidR="00A934FD" w:rsidRPr="00A934FD" w:rsidRDefault="00A934FD" w:rsidP="00A934FD">
      <w:pPr>
        <w:spacing w:before="100" w:beforeAutospacing="1" w:after="100" w:afterAutospacing="1" w:line="240" w:lineRule="auto"/>
        <w:ind w:left="28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B790E6F" wp14:editId="4E2B91F0">
            <wp:extent cx="1247949" cy="724001"/>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quation.PNG"/>
                    <pic:cNvPicPr/>
                  </pic:nvPicPr>
                  <pic:blipFill>
                    <a:blip r:embed="rId5">
                      <a:extLst>
                        <a:ext uri="{28A0092B-C50C-407E-A947-70E740481C1C}">
                          <a14:useLocalDpi xmlns:a14="http://schemas.microsoft.com/office/drawing/2010/main" val="0"/>
                        </a:ext>
                      </a:extLst>
                    </a:blip>
                    <a:stretch>
                      <a:fillRect/>
                    </a:stretch>
                  </pic:blipFill>
                  <pic:spPr>
                    <a:xfrm>
                      <a:off x="0" y="0"/>
                      <a:ext cx="1247949" cy="724001"/>
                    </a:xfrm>
                    <a:prstGeom prst="rect">
                      <a:avLst/>
                    </a:prstGeom>
                  </pic:spPr>
                </pic:pic>
              </a:graphicData>
            </a:graphic>
          </wp:inline>
        </w:drawing>
      </w:r>
      <w:r w:rsidRPr="00A934FD">
        <w:rPr>
          <w:rFonts w:ascii="Times New Roman" w:eastAsia="Times New Roman" w:hAnsi="Times New Roman" w:cs="Times New Roman"/>
          <w:noProof/>
          <w:sz w:val="24"/>
          <w:szCs w:val="24"/>
        </w:rPr>
        <mc:AlternateContent>
          <mc:Choice Requires="wps">
            <w:drawing>
              <wp:inline distT="0" distB="0" distL="0" distR="0" wp14:anchorId="788A8751" wp14:editId="7576142D">
                <wp:extent cx="923925" cy="495300"/>
                <wp:effectExtent l="0" t="0" r="0" b="0"/>
                <wp:docPr id="2" name="AutoShape 1" descr="mk:@MSITStore:C:\Program%20Files%20(x86)\USDA\EFH2\EFH2.chm::/Image17.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239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FBA85D" id="AutoShape 1" o:spid="_x0000_s1026" alt="mk:@MSITStore:C:\Program%20Files%20(x86)\USDA\EFH2\EFH2.chm::/Image17.gif" style="width:72.7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" filled="f" stroked="f">
                <o:lock v:ext="edit" aspectratio="t"/>
                <w10:anchorlock/>
              </v:rect>
            </w:pict>
          </mc:Fallback>
        </mc:AlternateContent>
      </w:r>
    </w:p>
    <w:tbl>
      <w:tblPr>
        <w:tblW w:w="12765" w:type="dxa"/>
        <w:tblCellSpacing w:w="0" w:type="dxa"/>
        <w:tblCellMar>
          <w:top w:w="105" w:type="dxa"/>
          <w:left w:w="105" w:type="dxa"/>
          <w:bottom w:w="105" w:type="dxa"/>
          <w:right w:w="105" w:type="dxa"/>
        </w:tblCellMar>
        <w:tblLook w:val="04A0" w:firstRow="1" w:lastRow="0" w:firstColumn="1" w:lastColumn="0" w:noHBand="0" w:noVBand="1"/>
      </w:tblPr>
      <w:tblGrid>
        <w:gridCol w:w="1277"/>
        <w:gridCol w:w="1021"/>
        <w:gridCol w:w="10467"/>
      </w:tblGrid>
      <w:tr w:rsidR="00A934FD" w:rsidRPr="00A934FD" w14:paraId="2AD83FEB" w14:textId="77777777" w:rsidTr="00A934FD">
        <w:trPr>
          <w:tblCellSpacing w:w="0" w:type="dxa"/>
        </w:trPr>
        <w:tc>
          <w:tcPr>
            <w:tcW w:w="500" w:type="pct"/>
            <w:hideMark/>
          </w:tcPr>
          <w:p w14:paraId="06B8D264" w14:textId="77777777" w:rsidR="00A934FD" w:rsidRPr="00A934FD" w:rsidRDefault="00A934FD" w:rsidP="00A934FD">
            <w:pPr>
              <w:spacing w:after="0" w:line="240" w:lineRule="auto"/>
              <w:rPr>
                <w:rFonts w:eastAsia="Times New Roman" w:cs="Arial"/>
                <w:sz w:val="24"/>
                <w:szCs w:val="24"/>
              </w:rPr>
            </w:pPr>
            <w:r w:rsidRPr="00A934FD">
              <w:rPr>
                <w:rFonts w:eastAsia="Times New Roman" w:cs="Arial"/>
                <w:sz w:val="24"/>
                <w:szCs w:val="24"/>
              </w:rPr>
              <w:t xml:space="preserve">Where: </w:t>
            </w:r>
          </w:p>
        </w:tc>
        <w:tc>
          <w:tcPr>
            <w:tcW w:w="400" w:type="pct"/>
            <w:hideMark/>
          </w:tcPr>
          <w:p w14:paraId="7B6BEBF0" w14:textId="77777777" w:rsidR="00A934FD" w:rsidRPr="00A934FD" w:rsidRDefault="00A934FD" w:rsidP="00A934FD">
            <w:pPr>
              <w:spacing w:before="100" w:beforeAutospacing="1" w:after="100" w:afterAutospacing="1" w:line="240" w:lineRule="auto"/>
              <w:jc w:val="right"/>
              <w:rPr>
                <w:rFonts w:eastAsia="Times New Roman" w:cs="Times New Roman"/>
                <w:sz w:val="24"/>
                <w:szCs w:val="24"/>
              </w:rPr>
            </w:pPr>
            <w:r w:rsidRPr="00A934FD">
              <w:rPr>
                <w:rFonts w:eastAsia="Times New Roman" w:cs="Arial"/>
                <w:sz w:val="24"/>
                <w:szCs w:val="24"/>
              </w:rPr>
              <w:t>Y =</w:t>
            </w:r>
          </w:p>
        </w:tc>
        <w:tc>
          <w:tcPr>
            <w:tcW w:w="4100" w:type="pct"/>
            <w:hideMark/>
          </w:tcPr>
          <w:p w14:paraId="76475D6E" w14:textId="77777777" w:rsidR="00A934FD" w:rsidRPr="00A934FD" w:rsidRDefault="00A934FD" w:rsidP="00A934FD">
            <w:pPr>
              <w:spacing w:before="100" w:beforeAutospacing="1" w:after="100" w:afterAutospacing="1" w:line="240" w:lineRule="auto"/>
              <w:rPr>
                <w:rFonts w:eastAsia="Times New Roman" w:cs="Times New Roman"/>
                <w:sz w:val="24"/>
                <w:szCs w:val="24"/>
              </w:rPr>
            </w:pPr>
            <w:r w:rsidRPr="00A934FD">
              <w:rPr>
                <w:rFonts w:eastAsia="Times New Roman" w:cs="Arial"/>
                <w:sz w:val="24"/>
                <w:szCs w:val="24"/>
              </w:rPr>
              <w:t>Average watershed slope in percent,</w:t>
            </w:r>
          </w:p>
        </w:tc>
      </w:tr>
      <w:tr w:rsidR="00A934FD" w:rsidRPr="00A934FD" w14:paraId="7C4A185B" w14:textId="77777777" w:rsidTr="00A934FD">
        <w:trPr>
          <w:tblCellSpacing w:w="0" w:type="dxa"/>
        </w:trPr>
        <w:tc>
          <w:tcPr>
            <w:tcW w:w="500" w:type="pct"/>
            <w:hideMark/>
          </w:tcPr>
          <w:p w14:paraId="4518F70F" w14:textId="77777777" w:rsidR="00A934FD" w:rsidRPr="00A934FD" w:rsidRDefault="00A934FD" w:rsidP="00A934FD">
            <w:pPr>
              <w:spacing w:before="100" w:beforeAutospacing="1" w:after="100" w:afterAutospacing="1" w:line="240" w:lineRule="auto"/>
              <w:rPr>
                <w:rFonts w:eastAsia="Times New Roman" w:cs="Times New Roman"/>
                <w:sz w:val="24"/>
                <w:szCs w:val="24"/>
              </w:rPr>
            </w:pPr>
            <w:r w:rsidRPr="00A934FD">
              <w:rPr>
                <w:rFonts w:eastAsia="Times New Roman" w:cs="Times New Roman"/>
                <w:sz w:val="24"/>
                <w:szCs w:val="24"/>
              </w:rPr>
              <w:t> </w:t>
            </w:r>
          </w:p>
        </w:tc>
        <w:tc>
          <w:tcPr>
            <w:tcW w:w="400" w:type="pct"/>
            <w:hideMark/>
          </w:tcPr>
          <w:p w14:paraId="69CAC85F" w14:textId="77777777" w:rsidR="00A934FD" w:rsidRPr="00A934FD" w:rsidRDefault="00A934FD" w:rsidP="00A934FD">
            <w:pPr>
              <w:spacing w:before="100" w:beforeAutospacing="1" w:after="100" w:afterAutospacing="1" w:line="240" w:lineRule="auto"/>
              <w:jc w:val="right"/>
              <w:rPr>
                <w:rFonts w:eastAsia="Times New Roman" w:cs="Times New Roman"/>
                <w:sz w:val="24"/>
                <w:szCs w:val="24"/>
              </w:rPr>
            </w:pPr>
            <w:r w:rsidRPr="00A934FD">
              <w:rPr>
                <w:rFonts w:eastAsia="Times New Roman" w:cs="Arial"/>
                <w:sz w:val="24"/>
                <w:szCs w:val="24"/>
              </w:rPr>
              <w:t>C =</w:t>
            </w:r>
          </w:p>
        </w:tc>
        <w:tc>
          <w:tcPr>
            <w:tcW w:w="4100" w:type="pct"/>
            <w:hideMark/>
          </w:tcPr>
          <w:p w14:paraId="2375E11F" w14:textId="77777777" w:rsidR="00A934FD" w:rsidRPr="00A934FD" w:rsidRDefault="00A934FD" w:rsidP="00A934FD">
            <w:pPr>
              <w:spacing w:before="100" w:beforeAutospacing="1" w:after="100" w:afterAutospacing="1" w:line="240" w:lineRule="auto"/>
              <w:rPr>
                <w:rFonts w:eastAsia="Times New Roman" w:cs="Times New Roman"/>
                <w:sz w:val="24"/>
                <w:szCs w:val="24"/>
              </w:rPr>
            </w:pPr>
            <w:r w:rsidRPr="00A934FD">
              <w:rPr>
                <w:rFonts w:eastAsia="Times New Roman" w:cs="Arial"/>
                <w:sz w:val="24"/>
                <w:szCs w:val="24"/>
              </w:rPr>
              <w:t>Total contour length in feet,</w:t>
            </w:r>
          </w:p>
        </w:tc>
      </w:tr>
      <w:tr w:rsidR="00A934FD" w:rsidRPr="00A934FD" w14:paraId="0BF2F4CF" w14:textId="77777777" w:rsidTr="00A934FD">
        <w:trPr>
          <w:tblCellSpacing w:w="0" w:type="dxa"/>
        </w:trPr>
        <w:tc>
          <w:tcPr>
            <w:tcW w:w="500" w:type="pct"/>
            <w:hideMark/>
          </w:tcPr>
          <w:p w14:paraId="419560CE" w14:textId="77777777" w:rsidR="00A934FD" w:rsidRPr="00A934FD" w:rsidRDefault="00A934FD" w:rsidP="00A934FD">
            <w:pPr>
              <w:spacing w:before="100" w:beforeAutospacing="1" w:after="100" w:afterAutospacing="1" w:line="240" w:lineRule="auto"/>
              <w:rPr>
                <w:rFonts w:eastAsia="Times New Roman" w:cs="Times New Roman"/>
                <w:sz w:val="24"/>
                <w:szCs w:val="24"/>
              </w:rPr>
            </w:pPr>
            <w:r w:rsidRPr="00A934FD">
              <w:rPr>
                <w:rFonts w:eastAsia="Times New Roman" w:cs="Times New Roman"/>
                <w:sz w:val="24"/>
                <w:szCs w:val="24"/>
              </w:rPr>
              <w:t> </w:t>
            </w:r>
          </w:p>
        </w:tc>
        <w:tc>
          <w:tcPr>
            <w:tcW w:w="400" w:type="pct"/>
            <w:hideMark/>
          </w:tcPr>
          <w:p w14:paraId="1AAFA185" w14:textId="77777777" w:rsidR="00A934FD" w:rsidRPr="00A934FD" w:rsidRDefault="00A934FD" w:rsidP="00A934FD">
            <w:pPr>
              <w:spacing w:before="100" w:beforeAutospacing="1" w:after="100" w:afterAutospacing="1" w:line="240" w:lineRule="auto"/>
              <w:jc w:val="right"/>
              <w:rPr>
                <w:rFonts w:eastAsia="Times New Roman" w:cs="Times New Roman"/>
                <w:sz w:val="24"/>
                <w:szCs w:val="24"/>
              </w:rPr>
            </w:pPr>
            <w:r w:rsidRPr="00A934FD">
              <w:rPr>
                <w:rFonts w:eastAsia="Times New Roman" w:cs="Arial"/>
                <w:sz w:val="24"/>
                <w:szCs w:val="24"/>
              </w:rPr>
              <w:t>I =</w:t>
            </w:r>
          </w:p>
        </w:tc>
        <w:tc>
          <w:tcPr>
            <w:tcW w:w="4100" w:type="pct"/>
            <w:hideMark/>
          </w:tcPr>
          <w:p w14:paraId="5ED42742" w14:textId="77777777" w:rsidR="00A934FD" w:rsidRPr="00A934FD" w:rsidRDefault="00A934FD" w:rsidP="00A934FD">
            <w:pPr>
              <w:spacing w:before="100" w:beforeAutospacing="1" w:after="100" w:afterAutospacing="1" w:line="240" w:lineRule="auto"/>
              <w:rPr>
                <w:rFonts w:eastAsia="Times New Roman" w:cs="Times New Roman"/>
                <w:sz w:val="24"/>
                <w:szCs w:val="24"/>
              </w:rPr>
            </w:pPr>
            <w:r w:rsidRPr="00A934FD">
              <w:rPr>
                <w:rFonts w:eastAsia="Times New Roman" w:cs="Arial"/>
                <w:sz w:val="24"/>
                <w:szCs w:val="24"/>
              </w:rPr>
              <w:t>Contour interval in feet, and</w:t>
            </w:r>
          </w:p>
        </w:tc>
      </w:tr>
      <w:tr w:rsidR="00A934FD" w:rsidRPr="00A934FD" w14:paraId="5C772A5E" w14:textId="77777777" w:rsidTr="00A934FD">
        <w:trPr>
          <w:tblCellSpacing w:w="0" w:type="dxa"/>
        </w:trPr>
        <w:tc>
          <w:tcPr>
            <w:tcW w:w="500" w:type="pct"/>
            <w:hideMark/>
          </w:tcPr>
          <w:p w14:paraId="02A656E9" w14:textId="77777777" w:rsidR="00A934FD" w:rsidRPr="00A934FD" w:rsidRDefault="00A934FD" w:rsidP="00A934FD">
            <w:pPr>
              <w:spacing w:before="100" w:beforeAutospacing="1" w:after="100" w:afterAutospacing="1" w:line="240" w:lineRule="auto"/>
              <w:rPr>
                <w:rFonts w:eastAsia="Times New Roman" w:cs="Times New Roman"/>
                <w:sz w:val="24"/>
                <w:szCs w:val="24"/>
              </w:rPr>
            </w:pPr>
            <w:r w:rsidRPr="00A934FD">
              <w:rPr>
                <w:rFonts w:eastAsia="Times New Roman" w:cs="Times New Roman"/>
                <w:sz w:val="24"/>
                <w:szCs w:val="24"/>
              </w:rPr>
              <w:t> </w:t>
            </w:r>
          </w:p>
        </w:tc>
        <w:tc>
          <w:tcPr>
            <w:tcW w:w="400" w:type="pct"/>
            <w:hideMark/>
          </w:tcPr>
          <w:p w14:paraId="4260D47A" w14:textId="77777777" w:rsidR="00A934FD" w:rsidRPr="00A934FD" w:rsidRDefault="00A934FD" w:rsidP="00A934FD">
            <w:pPr>
              <w:spacing w:before="100" w:beforeAutospacing="1" w:after="100" w:afterAutospacing="1" w:line="240" w:lineRule="auto"/>
              <w:jc w:val="right"/>
              <w:rPr>
                <w:rFonts w:eastAsia="Times New Roman" w:cs="Times New Roman"/>
                <w:sz w:val="24"/>
                <w:szCs w:val="24"/>
              </w:rPr>
            </w:pPr>
            <w:r w:rsidRPr="00A934FD">
              <w:rPr>
                <w:rFonts w:eastAsia="Times New Roman" w:cs="Arial"/>
                <w:sz w:val="24"/>
                <w:szCs w:val="24"/>
              </w:rPr>
              <w:t>A =</w:t>
            </w:r>
          </w:p>
        </w:tc>
        <w:tc>
          <w:tcPr>
            <w:tcW w:w="4100" w:type="pct"/>
            <w:hideMark/>
          </w:tcPr>
          <w:p w14:paraId="17C43021" w14:textId="77777777" w:rsidR="00A934FD" w:rsidRPr="00A934FD" w:rsidRDefault="00A934FD" w:rsidP="00A934FD">
            <w:pPr>
              <w:spacing w:before="100" w:beforeAutospacing="1" w:after="100" w:afterAutospacing="1" w:line="240" w:lineRule="auto"/>
              <w:rPr>
                <w:rFonts w:eastAsia="Times New Roman" w:cs="Times New Roman"/>
                <w:sz w:val="24"/>
                <w:szCs w:val="24"/>
              </w:rPr>
            </w:pPr>
            <w:r w:rsidRPr="00A934FD">
              <w:rPr>
                <w:rFonts w:eastAsia="Times New Roman" w:cs="Arial"/>
                <w:sz w:val="24"/>
                <w:szCs w:val="24"/>
              </w:rPr>
              <w:t>Drainage area in acres.</w:t>
            </w:r>
          </w:p>
        </w:tc>
      </w:tr>
    </w:tbl>
    <w:p w14:paraId="62A143D2" w14:textId="77777777" w:rsidR="00A934FD" w:rsidRPr="00A934FD" w:rsidRDefault="00A934FD" w:rsidP="00A934FD">
      <w:pPr>
        <w:spacing w:before="100" w:beforeAutospacing="1" w:after="100" w:afterAutospacing="1" w:line="240" w:lineRule="auto"/>
        <w:rPr>
          <w:rFonts w:ascii="Arial" w:eastAsia="Times New Roman" w:hAnsi="Arial" w:cs="Arial"/>
          <w:sz w:val="27"/>
          <w:szCs w:val="27"/>
        </w:rPr>
      </w:pPr>
      <w:r w:rsidRPr="00A934FD">
        <w:rPr>
          <w:rFonts w:ascii="Arial" w:eastAsia="Times New Roman" w:hAnsi="Arial" w:cs="Arial"/>
          <w:sz w:val="27"/>
          <w:szCs w:val="27"/>
        </w:rPr>
        <w:t> </w:t>
      </w:r>
    </w:p>
    <w:p w14:paraId="5FB3A9CD" w14:textId="7AD2C04C" w:rsidR="00A934FD" w:rsidRPr="00A934FD" w:rsidRDefault="00A934FD" w:rsidP="00A934FD">
      <w:pPr>
        <w:spacing w:before="100" w:beforeAutospacing="1" w:after="100" w:afterAutospacing="1" w:line="240" w:lineRule="auto"/>
        <w:rPr>
          <w:rFonts w:eastAsia="Times New Roman" w:cs="Arial"/>
          <w:sz w:val="24"/>
          <w:szCs w:val="24"/>
        </w:rPr>
      </w:pPr>
      <w:r w:rsidRPr="00A934FD">
        <w:rPr>
          <w:rFonts w:eastAsia="Times New Roman" w:cs="Arial"/>
          <w:sz w:val="24"/>
          <w:szCs w:val="24"/>
        </w:rPr>
        <w:t xml:space="preserve">Upon exiting this </w:t>
      </w:r>
      <w:r w:rsidR="00694073" w:rsidRPr="00A934FD">
        <w:rPr>
          <w:rFonts w:eastAsia="Times New Roman" w:cs="Arial"/>
          <w:sz w:val="24"/>
          <w:szCs w:val="24"/>
        </w:rPr>
        <w:t>window,</w:t>
      </w:r>
      <w:r w:rsidRPr="00A934FD">
        <w:rPr>
          <w:rFonts w:eastAsia="Times New Roman" w:cs="Arial"/>
          <w:sz w:val="24"/>
          <w:szCs w:val="24"/>
        </w:rPr>
        <w:t xml:space="preserve"> the values for average slope and drainage area will be transferred back to the ‘Basic Data’ entry fields. It should be noted that a drainage area larger than 2000 acres may be used in this window. However, this drainage area will not be transferred back.</w:t>
      </w:r>
    </w:p>
    <w:p w14:paraId="0A860780" w14:textId="77777777" w:rsidR="00A934FD" w:rsidRPr="00A934FD" w:rsidRDefault="0051459D" w:rsidP="00A934FD">
      <w:pPr>
        <w:spacing w:before="100" w:beforeAutospacing="1" w:after="100" w:afterAutospacing="1" w:line="240" w:lineRule="auto"/>
        <w:outlineLvl w:val="2"/>
        <w:rPr>
          <w:rFonts w:ascii="Arial" w:eastAsia="Times New Roman" w:hAnsi="Arial" w:cs="Arial"/>
          <w:b/>
          <w:bCs/>
          <w:color w:val="008000"/>
          <w:sz w:val="27"/>
          <w:szCs w:val="27"/>
        </w:rPr>
      </w:pPr>
      <w:bookmarkStart w:id="1" w:name="Tools_HSG"/>
      <w:bookmarkEnd w:id="1"/>
      <w:r>
        <w:rPr>
          <w:noProof/>
        </w:rPr>
        <w:drawing>
          <wp:inline distT="0" distB="0" distL="0" distR="0" wp14:anchorId="4DF0F5F6" wp14:editId="3018C2B3">
            <wp:extent cx="190476" cy="18095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476" cy="180952"/>
                    </a:xfrm>
                    <a:prstGeom prst="rect">
                      <a:avLst/>
                    </a:prstGeom>
                  </pic:spPr>
                </pic:pic>
              </a:graphicData>
            </a:graphic>
          </wp:inline>
        </w:drawing>
      </w:r>
      <w:r w:rsidR="00A934FD" w:rsidRPr="00A934FD">
        <w:rPr>
          <w:rFonts w:ascii="Times New Roman" w:eastAsia="Times New Roman" w:hAnsi="Times New Roman" w:cs="Times New Roman"/>
          <w:b/>
          <w:bCs/>
          <w:noProof/>
          <w:sz w:val="27"/>
          <w:szCs w:val="27"/>
        </w:rPr>
        <mc:AlternateContent>
          <mc:Choice Requires="wps">
            <w:drawing>
              <wp:inline distT="0" distB="0" distL="0" distR="0" wp14:anchorId="40F208D2" wp14:editId="2049382F">
                <wp:extent cx="238125" cy="228600"/>
                <wp:effectExtent l="0" t="0" r="0" b="0"/>
                <wp:docPr id="1" name="AutoShape 2" descr="mk:@MSITStore:C:\Program%20Files%20(x86)\USDA\EFH2\EFH2.chm::/Image1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6278A9" id="AutoShape 2" o:spid="_x0000_s1026" alt="mk:@MSITStore:C:\Program%20Files%20(x86)\USDA\EFH2\EFH2.chm::/Image13.gif" style="width:18.7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" filled="f" stroked="f">
                <o:lock v:ext="edit" aspectratio="t"/>
                <w10:anchorlock/>
              </v:rect>
            </w:pict>
          </mc:Fallback>
        </mc:AlternateContent>
      </w:r>
      <w:r w:rsidR="00A934FD" w:rsidRPr="00A934FD">
        <w:rPr>
          <w:rFonts w:ascii="Arial" w:eastAsia="Times New Roman" w:hAnsi="Arial" w:cs="Arial"/>
          <w:b/>
          <w:bCs/>
          <w:color w:val="008000"/>
          <w:sz w:val="27"/>
          <w:szCs w:val="27"/>
        </w:rPr>
        <w:t>Hydrologic Soil Group</w:t>
      </w:r>
    </w:p>
    <w:p w14:paraId="52DA6DCD" w14:textId="77777777" w:rsidR="00A934FD" w:rsidRPr="00A934FD" w:rsidRDefault="00A934FD" w:rsidP="00A934FD">
      <w:pPr>
        <w:spacing w:before="100" w:beforeAutospacing="1" w:after="100" w:afterAutospacing="1" w:line="240" w:lineRule="auto"/>
        <w:rPr>
          <w:rFonts w:eastAsia="Times New Roman" w:cs="Arial"/>
          <w:sz w:val="24"/>
          <w:szCs w:val="24"/>
        </w:rPr>
      </w:pPr>
      <w:r w:rsidRPr="00A934FD">
        <w:rPr>
          <w:rFonts w:eastAsia="Times New Roman" w:cs="Arial"/>
          <w:sz w:val="24"/>
          <w:szCs w:val="24"/>
        </w:rPr>
        <w:t xml:space="preserve">This command is available only when the ‘RCN’ tab is activated. Use this command to open the hydrologic soil group lookup dialog window. This window allows the user to view the data in the </w:t>
      </w:r>
      <w:hyperlink r:id="rId7" w:anchor="SOILS_HG" w:history="1">
        <w:r w:rsidRPr="00A934FD">
          <w:rPr>
            <w:rFonts w:eastAsia="Times New Roman" w:cs="Arial"/>
            <w:color w:val="0000FF"/>
            <w:sz w:val="24"/>
            <w:szCs w:val="24"/>
            <w:u w:val="single"/>
          </w:rPr>
          <w:t>SOILS.HG</w:t>
        </w:r>
      </w:hyperlink>
      <w:r w:rsidRPr="00A934FD">
        <w:rPr>
          <w:rFonts w:eastAsia="Times New Roman" w:cs="Arial"/>
          <w:sz w:val="24"/>
          <w:szCs w:val="24"/>
        </w:rPr>
        <w:t xml:space="preserve"> file to lookup the hydrologic group value, A, B, C, or D for various soil types.</w:t>
      </w:r>
    </w:p>
    <w:p w14:paraId="20B32312" w14:textId="77777777" w:rsidR="00281AA1" w:rsidRPr="00A93801" w:rsidRDefault="00281AA1" w:rsidP="00281AA1">
      <w:pPr>
        <w:spacing w:before="100" w:beforeAutospacing="1" w:after="100" w:afterAutospacing="1" w:line="240" w:lineRule="auto"/>
        <w:rPr>
          <w:rFonts w:ascii="Arial" w:eastAsia="Times New Roman" w:hAnsi="Arial" w:cs="Arial"/>
          <w:sz w:val="24"/>
          <w:szCs w:val="24"/>
        </w:rPr>
      </w:pPr>
    </w:p>
    <w:p w14:paraId="13553BF7" w14:textId="77777777" w:rsidR="00A93801" w:rsidRPr="00210FA6" w:rsidRDefault="00A93801"/>
    <w:p w14:paraId="47EA1EB7" w14:textId="77777777" w:rsidR="00210FA6" w:rsidRPr="00DA7236" w:rsidRDefault="00210FA6">
      <w:pPr>
        <w:rPr>
          <w:sz w:val="24"/>
          <w:szCs w:val="24"/>
        </w:rPr>
      </w:pPr>
    </w:p>
    <w:sectPr w:rsidR="00210FA6" w:rsidRPr="00DA7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236"/>
    <w:rsid w:val="00044AF5"/>
    <w:rsid w:val="00210FA6"/>
    <w:rsid w:val="00273280"/>
    <w:rsid w:val="00281AA1"/>
    <w:rsid w:val="00476A40"/>
    <w:rsid w:val="0051459D"/>
    <w:rsid w:val="006611AC"/>
    <w:rsid w:val="00694073"/>
    <w:rsid w:val="009C5AAA"/>
    <w:rsid w:val="00A934FD"/>
    <w:rsid w:val="00A93801"/>
    <w:rsid w:val="00B64DC5"/>
    <w:rsid w:val="00D569B5"/>
    <w:rsid w:val="00DA7236"/>
    <w:rsid w:val="00DC3E99"/>
    <w:rsid w:val="00FB4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5CCA1"/>
  <w15:chartTrackingRefBased/>
  <w15:docId w15:val="{4D81AEAC-E6DC-4647-BB6B-40E7A8DFA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1A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741657">
      <w:bodyDiv w:val="1"/>
      <w:marLeft w:val="0"/>
      <w:marRight w:val="0"/>
      <w:marTop w:val="0"/>
      <w:marBottom w:val="0"/>
      <w:divBdr>
        <w:top w:val="none" w:sz="0" w:space="0" w:color="auto"/>
        <w:left w:val="none" w:sz="0" w:space="0" w:color="auto"/>
        <w:bottom w:val="none" w:sz="0" w:space="0" w:color="auto"/>
        <w:right w:val="none" w:sz="0" w:space="0" w:color="auto"/>
      </w:divBdr>
    </w:div>
    <w:div w:id="802696766">
      <w:bodyDiv w:val="1"/>
      <w:marLeft w:val="0"/>
      <w:marRight w:val="0"/>
      <w:marTop w:val="0"/>
      <w:marBottom w:val="0"/>
      <w:divBdr>
        <w:top w:val="none" w:sz="0" w:space="0" w:color="auto"/>
        <w:left w:val="none" w:sz="0" w:space="0" w:color="auto"/>
        <w:bottom w:val="none" w:sz="0" w:space="0" w:color="auto"/>
        <w:right w:val="none" w:sz="0" w:space="0" w:color="auto"/>
      </w:divBdr>
    </w:div>
    <w:div w:id="1014654033">
      <w:bodyDiv w:val="1"/>
      <w:marLeft w:val="0"/>
      <w:marRight w:val="0"/>
      <w:marTop w:val="0"/>
      <w:marBottom w:val="0"/>
      <w:divBdr>
        <w:top w:val="none" w:sz="0" w:space="0" w:color="auto"/>
        <w:left w:val="none" w:sz="0" w:space="0" w:color="auto"/>
        <w:bottom w:val="none" w:sz="0" w:space="0" w:color="auto"/>
        <w:right w:val="none" w:sz="0" w:space="0" w:color="auto"/>
      </w:divBdr>
    </w:div>
    <w:div w:id="1611206883">
      <w:bodyDiv w:val="1"/>
      <w:marLeft w:val="0"/>
      <w:marRight w:val="0"/>
      <w:marTop w:val="0"/>
      <w:marBottom w:val="0"/>
      <w:divBdr>
        <w:top w:val="none" w:sz="0" w:space="0" w:color="auto"/>
        <w:left w:val="none" w:sz="0" w:space="0" w:color="auto"/>
        <w:bottom w:val="none" w:sz="0" w:space="0" w:color="auto"/>
        <w:right w:val="none" w:sz="0" w:space="0" w:color="auto"/>
      </w:divBdr>
    </w:div>
    <w:div w:id="200639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k:@MSITStore:C:\Program%20Files%20(x86)\USDA\EFH2\EFH2.chm::/BASIC%20DATA%20FILES.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Quan - NRCS, Beltsville, MD</dc:creator>
  <cp:keywords/>
  <dc:description/>
  <cp:lastModifiedBy>Quan, Quan - NRCS, Beltsville, MD</cp:lastModifiedBy>
  <cp:revision>4</cp:revision>
  <dcterms:created xsi:type="dcterms:W3CDTF">2018-09-14T16:37:00Z</dcterms:created>
  <dcterms:modified xsi:type="dcterms:W3CDTF">2021-04-01T13:35:00Z</dcterms:modified>
</cp:coreProperties>
</file>