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1" w:name="content"/>
    <w:bookmarkStart w:id="50" w:name="X380154126d8126c6f6480e8fe6951a9e2f092cc"/>
    <w:p>
      <w:pPr>
        <w:pStyle w:val="Heading1"/>
      </w:pPr>
      <w:r>
        <w:t xml:space="preserve">Synthetic transaction data generation from your threshold rulebook</w:t>
      </w:r>
    </w:p>
    <w:bookmarkStart w:id="22" w:name="X64718e756ed10b75f548c6dc631b5c92479b9c9"/>
    <w:p>
      <w:pPr>
        <w:pStyle w:val="Heading2"/>
      </w:pPr>
      <w:r>
        <w:t xml:space="preserve">What you provided and what it implies for synthesis</w:t>
      </w:r>
    </w:p>
    <w:p>
      <w:pPr>
        <w:pStyle w:val="FirstParagraph"/>
      </w:pPr>
      <w:r>
        <w:t xml:space="preserve">You shared two key artefacts:</w:t>
      </w:r>
    </w:p>
    <w:p>
      <w:pPr>
        <w:pStyle w:val="Compact"/>
        <w:numPr>
          <w:ilvl w:val="0"/>
          <w:numId w:val="1001"/>
        </w:numPr>
      </w:pPr>
      <w:r>
        <w:t xml:space="preserve">A processed transaction sample CSV (</w:t>
      </w:r>
      <w:r>
        <w:rPr>
          <w:rStyle w:val="VerbatimChar"/>
        </w:rPr>
        <w:t xml:space="preserve">sample_processed_transaction_data.csv</w:t>
      </w:r>
      <w:r>
        <w:t xml:space="preserve">) with a fixed, wide schema (transaction-level columns such as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txn_category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counterparty_*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risk_score_channel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purpose_*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initiator_ip_address</w:t>
      </w:r>
      <w:r>
        <w:t xml:space="preserve">, etc.).</w:t>
      </w:r>
    </w:p>
    <w:p>
      <w:pPr>
        <w:pStyle w:val="Compact"/>
        <w:numPr>
          <w:ilvl w:val="0"/>
          <w:numId w:val="1001"/>
        </w:numPr>
      </w:pPr>
      <w:r>
        <w:t xml:space="preserve">A “Book of All Threshold” workbook (</w:t>
      </w:r>
      <w:r>
        <w:rPr>
          <w:rStyle w:val="VerbatimChar"/>
        </w:rPr>
        <w:t xml:space="preserve">Book of All Threshold.xlsx</w:t>
      </w:r>
      <w:r>
        <w:t xml:space="preserve">) with three rule sheets:</w:t>
      </w:r>
      <w:r>
        <w:t xml:space="preserve"> </w:t>
      </w:r>
      <w:r>
        <w:rPr>
          <w:b/>
          <w:bCs/>
        </w:rPr>
        <w:t xml:space="preserve">Transaction Value</w:t>
      </w:r>
      <w:r>
        <w:t xml:space="preserve">,</w:t>
      </w:r>
      <w:r>
        <w:t xml:space="preserve"> </w:t>
      </w:r>
      <w:r>
        <w:rPr>
          <w:b/>
          <w:bCs/>
        </w:rPr>
        <w:t xml:space="preserve">Transaction Volume</w:t>
      </w:r>
      <w:r>
        <w:t xml:space="preserve">, and</w:t>
      </w:r>
      <w:r>
        <w:t xml:space="preserve"> </w:t>
      </w:r>
      <w:r>
        <w:rPr>
          <w:b/>
          <w:bCs/>
        </w:rPr>
        <w:t xml:space="preserve">Transaction Frequency</w:t>
      </w:r>
      <w:r>
        <w:t xml:space="preserve">. Each sheet enumerates scenarios across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 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Risk</w:t>
      </w:r>
      <w:r>
        <w:t xml:space="preserve">, and then provides limits:</w:t>
      </w:r>
    </w:p>
    <w:p>
      <w:pPr>
        <w:pStyle w:val="Compact"/>
        <w:numPr>
          <w:ilvl w:val="0"/>
          <w:numId w:val="1001"/>
        </w:numPr>
      </w:pPr>
      <w:r>
        <w:t xml:space="preserve">Value/Volume: monthly + daily transaction limits (currency in $).</w:t>
      </w:r>
    </w:p>
    <w:p>
      <w:pPr>
        <w:pStyle w:val="Compact"/>
        <w:numPr>
          <w:ilvl w:val="0"/>
          <w:numId w:val="1001"/>
        </w:numPr>
      </w:pPr>
      <w:r>
        <w:t xml:space="preserve">Frequency: daily + monthly frequency limits (counts).</w:t>
      </w:r>
    </w:p>
    <w:p>
      <w:pPr>
        <w:pStyle w:val="FirstParagraph"/>
      </w:pPr>
      <w:r>
        <w:t xml:space="preserve">This structure is a classic fit for</w:t>
      </w:r>
      <w:r>
        <w:t xml:space="preserve"> </w:t>
      </w:r>
      <w:r>
        <w:rPr>
          <w:b/>
          <w:bCs/>
        </w:rPr>
        <w:t xml:space="preserve">scenario-based synthetic generation</w:t>
      </w:r>
      <w:r>
        <w:t xml:space="preserve">: treat each row as a scenario definition, then generate a block of records whose fields are consistent with the scenario and whose labels reflect whether the scenario is “within limits” or “breaching limits”.</w:t>
      </w:r>
    </w:p>
    <w:p>
      <w:pPr>
        <w:pStyle w:val="BodyText"/>
      </w:pPr>
      <w:r>
        <w:t xml:space="preserve">A practical way to do this is a hybrid approach: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Rule-first (deterministic) synthesis</w:t>
      </w:r>
      <w:r>
        <w:t xml:space="preserve"> </w:t>
      </w:r>
      <w:r>
        <w:t xml:space="preserve">to guarantee coverage of every scenario row in the workbook (what you explicitly asked for: 100 records per row).</w:t>
      </w:r>
    </w:p>
    <w:p>
      <w:pPr>
        <w:pStyle w:val="Compact"/>
        <w:numPr>
          <w:ilvl w:val="0"/>
          <w:numId w:val="1002"/>
        </w:numPr>
      </w:pPr>
      <w:r>
        <w:t xml:space="preserve">Optionally,</w:t>
      </w:r>
      <w:r>
        <w:t xml:space="preserve"> </w:t>
      </w:r>
      <w:r>
        <w:rPr>
          <w:b/>
          <w:bCs/>
        </w:rPr>
        <w:t xml:space="preserve">model-based synthesis</w:t>
      </w:r>
      <w:r>
        <w:t xml:space="preserve"> </w:t>
      </w:r>
      <w:r>
        <w:t xml:space="preserve">(e.g., SDV) to learn richer cross-column correlations and produce more realistic “background variation”, while still enforcing rule constraints. SDV is specifically designed for tabular synthetic generation, supports metadata-driven typing, and provides constraint mechanisms to enforce deterministic business rules.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22"/>
    <w:bookmarkStart w:id="28" w:name="X0c7bce35ee818313d84ea125f8efb1fedb47ea4"/>
    <w:p>
      <w:pPr>
        <w:pStyle w:val="Heading2"/>
      </w:pPr>
      <w:r>
        <w:t xml:space="preserve">How the rule rows were converted into transaction records</w:t>
      </w:r>
    </w:p>
    <w:p>
      <w:pPr>
        <w:pStyle w:val="FirstParagraph"/>
      </w:pPr>
      <w:r>
        <w:t xml:space="preserve">Because your workbook’s “Channel” and “Transaction Type” are</w:t>
      </w:r>
      <w:r>
        <w:t xml:space="preserve"> </w:t>
      </w:r>
      <w:r>
        <w:rPr>
          <w:b/>
          <w:bCs/>
        </w:rPr>
        <w:t xml:space="preserve">scenario dimensions</w:t>
      </w:r>
      <w:r>
        <w:t xml:space="preserve"> </w:t>
      </w:r>
      <w:r>
        <w:t xml:space="preserve">(e.g., “Outward – Cross Border”, “Withdrawal”, “Wire Transfer”, “ACH Wire Transfer”), but your CSV also has its own transaction columns (</w:t>
      </w:r>
      <w:r>
        <w:rPr>
          <w:rStyle w:val="VerbatimChar"/>
        </w:rPr>
        <w:t xml:space="preserve">txn_category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transaction_type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as the delivery medium), I used a consistent mapping layer so rule rows generate records that match your CSV-style schema.</w:t>
      </w:r>
    </w:p>
    <w:bookmarkStart w:id="25" w:name="Xd25d1845634e320b9c7e20c671a61151a442ce8"/>
    <w:p>
      <w:pPr>
        <w:pStyle w:val="Heading3"/>
      </w:pPr>
      <w:r>
        <w:t xml:space="preserve">Scenario interpretation and field mapping (used for all three sheets)</w:t>
      </w:r>
    </w:p>
    <w:p>
      <w:pPr>
        <w:pStyle w:val="FirstParagraph"/>
      </w:pPr>
      <w:r>
        <w:t xml:space="preserve">Each rule row was parsed into: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Activity</w:t>
      </w:r>
      <w:r>
        <w:t xml:space="preserve"> </w:t>
      </w:r>
      <w:r>
        <w:t xml:space="preserve">(one of: Withdrawal, Deposit/Withdrawal, Outward/Inward Domestic, Outward/Inward Cross Border)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Instrument</w:t>
      </w:r>
      <w:r>
        <w:t xml:space="preserve"> </w:t>
      </w:r>
      <w:r>
        <w:t xml:space="preserve">(one of: Cheque, Cash, Wire Transfer, ACH Wire Transfer)</w:t>
      </w:r>
    </w:p>
    <w:p>
      <w:pPr>
        <w:pStyle w:val="FirstParagraph"/>
      </w:pPr>
      <w:r>
        <w:t xml:space="preserve">Then mapped into the transaction-like fields: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txn_category</w:t>
      </w:r>
      <w:r>
        <w:t xml:space="preserve"> </w:t>
      </w:r>
      <w:r>
        <w:t xml:space="preserve">(broad category)</w:t>
      </w:r>
    </w:p>
    <w:p>
      <w:pPr>
        <w:pStyle w:val="Compact"/>
        <w:numPr>
          <w:ilvl w:val="0"/>
          <w:numId w:val="1004"/>
        </w:numPr>
      </w:pPr>
      <w:r>
        <w:t xml:space="preserve">Outward – Cross Border →</w:t>
      </w:r>
      <w:r>
        <w:t xml:space="preserve"> </w:t>
      </w:r>
      <w:r>
        <w:rPr>
          <w:rStyle w:val="VerbatimChar"/>
        </w:rPr>
        <w:t xml:space="preserve">OUTWARD_CROSSBORDER</w:t>
      </w:r>
    </w:p>
    <w:p>
      <w:pPr>
        <w:pStyle w:val="Compact"/>
        <w:numPr>
          <w:ilvl w:val="0"/>
          <w:numId w:val="1004"/>
        </w:numPr>
      </w:pPr>
      <w:r>
        <w:t xml:space="preserve">Inward – Cross Border →</w:t>
      </w:r>
      <w:r>
        <w:t xml:space="preserve"> </w:t>
      </w:r>
      <w:r>
        <w:rPr>
          <w:rStyle w:val="VerbatimChar"/>
        </w:rPr>
        <w:t xml:space="preserve">INWARD_CROSSBORDER</w:t>
      </w:r>
    </w:p>
    <w:p>
      <w:pPr>
        <w:pStyle w:val="Compact"/>
        <w:numPr>
          <w:ilvl w:val="0"/>
          <w:numId w:val="1004"/>
        </w:numPr>
      </w:pPr>
      <w:r>
        <w:t xml:space="preserve">Outward – Domestic →</w:t>
      </w:r>
      <w:r>
        <w:t xml:space="preserve"> </w:t>
      </w:r>
      <w:r>
        <w:rPr>
          <w:rStyle w:val="VerbatimChar"/>
        </w:rPr>
        <w:t xml:space="preserve">OUTWARD_DOMESTIC</w:t>
      </w:r>
    </w:p>
    <w:p>
      <w:pPr>
        <w:pStyle w:val="Compact"/>
        <w:numPr>
          <w:ilvl w:val="0"/>
          <w:numId w:val="1004"/>
        </w:numPr>
      </w:pPr>
      <w:r>
        <w:t xml:space="preserve">Inward – Domestic →</w:t>
      </w:r>
      <w:r>
        <w:t xml:space="preserve"> </w:t>
      </w:r>
      <w:r>
        <w:rPr>
          <w:rStyle w:val="VerbatimChar"/>
        </w:rPr>
        <w:t xml:space="preserve">CREDIT</w:t>
      </w:r>
    </w:p>
    <w:p>
      <w:pPr>
        <w:pStyle w:val="Compact"/>
        <w:numPr>
          <w:ilvl w:val="0"/>
          <w:numId w:val="1004"/>
        </w:numPr>
      </w:pPr>
      <w:r>
        <w:t xml:space="preserve">Withdrawal →</w:t>
      </w:r>
      <w:r>
        <w:t xml:space="preserve"> </w:t>
      </w:r>
      <w:r>
        <w:rPr>
          <w:rStyle w:val="VerbatimChar"/>
        </w:rPr>
        <w:t xml:space="preserve">DEBIT</w:t>
      </w:r>
    </w:p>
    <w:p>
      <w:pPr>
        <w:pStyle w:val="Compact"/>
        <w:numPr>
          <w:ilvl w:val="0"/>
          <w:numId w:val="1004"/>
        </w:numPr>
      </w:pPr>
      <w:r>
        <w:t xml:space="preserve">Deposit/Withdrawal →</w:t>
      </w:r>
      <w:r>
        <w:t xml:space="preserve"> </w:t>
      </w:r>
      <w:r>
        <w:rPr>
          <w:rStyle w:val="VerbatimChar"/>
        </w:rPr>
        <w:t xml:space="preserve">DEPOSIT_CASH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direction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dr_cr_indicator</w:t>
      </w:r>
    </w:p>
    <w:p>
      <w:pPr>
        <w:pStyle w:val="Compact"/>
        <w:numPr>
          <w:ilvl w:val="0"/>
          <w:numId w:val="1004"/>
        </w:numPr>
      </w:pPr>
      <w:r>
        <w:t xml:space="preserve">Inward flows →</w:t>
      </w:r>
      <w:r>
        <w:t xml:space="preserve"> </w:t>
      </w:r>
      <w:r>
        <w:rPr>
          <w:rStyle w:val="VerbatimChar"/>
        </w:rPr>
        <w:t xml:space="preserve">CR</w:t>
      </w:r>
    </w:p>
    <w:p>
      <w:pPr>
        <w:pStyle w:val="Compact"/>
        <w:numPr>
          <w:ilvl w:val="0"/>
          <w:numId w:val="1004"/>
        </w:numPr>
      </w:pPr>
      <w:r>
        <w:t xml:space="preserve">Outward/withdrawal flows →</w:t>
      </w:r>
      <w:r>
        <w:t xml:space="preserve"> </w:t>
      </w:r>
      <w:r>
        <w:rPr>
          <w:rStyle w:val="VerbatimChar"/>
        </w:rPr>
        <w:t xml:space="preserve">DR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dr_cr_indicator</w:t>
      </w:r>
      <w:r>
        <w:t xml:space="preserve"> </w:t>
      </w:r>
      <w:r>
        <w:t xml:space="preserve">padded to match your sample style (e.g.,</w:t>
      </w:r>
      <w:r>
        <w:t xml:space="preserve"> </w:t>
      </w:r>
      <w:r>
        <w:rPr>
          <w:rStyle w:val="VerbatimChar"/>
        </w:rPr>
        <w:t xml:space="preserve">CR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transaction_type</w:t>
      </w:r>
      <w:r>
        <w:t xml:space="preserve"> </w:t>
      </w:r>
      <w:r>
        <w:t xml:space="preserve">(instrument detail)</w:t>
      </w:r>
    </w:p>
    <w:p>
      <w:pPr>
        <w:pStyle w:val="Compact"/>
        <w:numPr>
          <w:ilvl w:val="0"/>
          <w:numId w:val="1004"/>
        </w:numPr>
      </w:pPr>
      <w:r>
        <w:t xml:space="preserve">Wire Transfer →</w:t>
      </w:r>
      <w:r>
        <w:t xml:space="preserve"> </w:t>
      </w:r>
      <w:r>
        <w:rPr>
          <w:rStyle w:val="VerbatimChar"/>
        </w:rPr>
        <w:t xml:space="preserve">WIRE_TRANSFER</w:t>
      </w:r>
    </w:p>
    <w:p>
      <w:pPr>
        <w:pStyle w:val="Compact"/>
        <w:numPr>
          <w:ilvl w:val="0"/>
          <w:numId w:val="1004"/>
        </w:numPr>
      </w:pPr>
      <w:r>
        <w:t xml:space="preserve">ACH Wire Transfer →</w:t>
      </w:r>
      <w:r>
        <w:t xml:space="preserve"> </w:t>
      </w:r>
      <w:r>
        <w:rPr>
          <w:rStyle w:val="VerbatimChar"/>
        </w:rPr>
        <w:t xml:space="preserve">ACH_TRANSFER</w:t>
      </w:r>
    </w:p>
    <w:p>
      <w:pPr>
        <w:pStyle w:val="Compact"/>
        <w:numPr>
          <w:ilvl w:val="0"/>
          <w:numId w:val="1004"/>
        </w:numPr>
      </w:pPr>
      <w:r>
        <w:t xml:space="preserve">Cash →</w:t>
      </w:r>
      <w:r>
        <w:t xml:space="preserve"> </w:t>
      </w:r>
      <w:r>
        <w:rPr>
          <w:rStyle w:val="VerbatimChar"/>
        </w:rPr>
        <w:t xml:space="preserve">CASH_DEPOSIT</w:t>
      </w:r>
      <w:r>
        <w:t xml:space="preserve"> </w:t>
      </w:r>
      <w:r>
        <w:t xml:space="preserve">(deposit scenarios)</w:t>
      </w:r>
    </w:p>
    <w:p>
      <w:pPr>
        <w:pStyle w:val="Compact"/>
        <w:numPr>
          <w:ilvl w:val="0"/>
          <w:numId w:val="1004"/>
        </w:numPr>
      </w:pPr>
      <w:r>
        <w:t xml:space="preserve">Cheque →</w:t>
      </w:r>
      <w:r>
        <w:t xml:space="preserve"> </w:t>
      </w:r>
      <w:r>
        <w:rPr>
          <w:rStyle w:val="VerbatimChar"/>
        </w:rPr>
        <w:t xml:space="preserve">CHEQUE</w:t>
      </w:r>
      <w:r>
        <w:t xml:space="preserve"> </w:t>
      </w:r>
      <w:r>
        <w:t xml:space="preserve">(introduced as a synthetic category)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channel</w:t>
      </w:r>
      <w:r>
        <w:t xml:space="preserve"> </w:t>
      </w:r>
      <w:r>
        <w:t xml:space="preserve">(delivery medium)</w:t>
      </w:r>
    </w:p>
    <w:p>
      <w:pPr>
        <w:pStyle w:val="Compact"/>
        <w:numPr>
          <w:ilvl w:val="0"/>
          <w:numId w:val="1004"/>
        </w:numPr>
      </w:pPr>
      <w:r>
        <w:t xml:space="preserve">Wire transfers →</w:t>
      </w:r>
      <w:r>
        <w:t xml:space="preserve"> </w:t>
      </w:r>
      <w:r>
        <w:rPr>
          <w:rStyle w:val="VerbatimChar"/>
        </w:rPr>
        <w:t xml:space="preserve">WIRE</w:t>
      </w:r>
    </w:p>
    <w:p>
      <w:pPr>
        <w:pStyle w:val="Compact"/>
        <w:numPr>
          <w:ilvl w:val="0"/>
          <w:numId w:val="1004"/>
        </w:numPr>
      </w:pPr>
      <w:r>
        <w:t xml:space="preserve">ACH transfers →</w:t>
      </w:r>
      <w:r>
        <w:t xml:space="preserve"> </w:t>
      </w:r>
      <w:r>
        <w:rPr>
          <w:rStyle w:val="VerbatimChar"/>
        </w:rPr>
        <w:t xml:space="preserve">ACH</w:t>
      </w:r>
    </w:p>
    <w:p>
      <w:pPr>
        <w:pStyle w:val="Compact"/>
        <w:numPr>
          <w:ilvl w:val="0"/>
          <w:numId w:val="1004"/>
        </w:numPr>
      </w:pPr>
      <w:r>
        <w:t xml:space="preserve">Cash/cheque scenarios →</w:t>
      </w:r>
      <w:r>
        <w:t xml:space="preserve"> </w:t>
      </w:r>
      <w:r>
        <w:rPr>
          <w:rStyle w:val="VerbatimChar"/>
        </w:rPr>
        <w:t xml:space="preserve">BRANCH</w:t>
      </w:r>
    </w:p>
    <w:p>
      <w:pPr>
        <w:pStyle w:val="FirstParagraph"/>
      </w:pPr>
      <w:r>
        <w:t xml:space="preserve">Other columns were populated to remain plausible and consistent: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counterparty_country</w:t>
      </w:r>
      <w:r>
        <w:t xml:space="preserve"> </w:t>
      </w:r>
      <w:r>
        <w:t xml:space="preserve">is non-domestic for cross-border categories and mostly domestic for domestic ones.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counterparty_bank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counterparty_name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counterparty_account</w:t>
      </w:r>
      <w:r>
        <w:t xml:space="preserve"> </w:t>
      </w:r>
      <w:r>
        <w:t xml:space="preserve">were synthesised with realistic formats (e.g., IBAN/BBAN form) using Faker’s banking provider APIs. Faker warns that these identifiers are “valid in form” and any real-world match is coincidental.</w:t>
      </w:r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initiator_ip_address</w:t>
      </w:r>
      <w:r>
        <w:t xml:space="preserve"> </w:t>
      </w:r>
      <w:r>
        <w:t xml:space="preserve">was generated as a private IPv4, consistent with the style in your sample.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risk_score_channel</w:t>
      </w:r>
      <w:r>
        <w:t xml:space="preserve"> </w:t>
      </w:r>
      <w:r>
        <w:t xml:space="preserve">was generated as a numeric score influenced by (a) the delivery medium and (b) the rulebook</w:t>
      </w:r>
      <w:r>
        <w:t xml:space="preserve"> </w:t>
      </w:r>
      <w:r>
        <w:rPr>
          <w:rStyle w:val="VerbatimChar"/>
        </w:rPr>
        <w:t xml:space="preserve">Risk</w:t>
      </w:r>
      <w:r>
        <w:t xml:space="preserve"> </w:t>
      </w:r>
      <w:r>
        <w:t xml:space="preserve">level (Low/Medium/High), and (for frequency scenarios) boosted slightly by higher monthly frequency.</w:t>
      </w:r>
    </w:p>
    <w:bookmarkEnd w:id="25"/>
    <w:bookmarkStart w:id="27" w:name="X88d3534012184e4043f86a3bad46fd9c450b495"/>
    <w:p>
      <w:pPr>
        <w:pStyle w:val="Heading3"/>
      </w:pPr>
      <w:r>
        <w:t xml:space="preserve">Labelling logic per sheet (what makes</w:t>
      </w:r>
      <w:r>
        <w:t xml:space="preserve"> </w:t>
      </w:r>
      <w:r>
        <w:rPr>
          <w:rStyle w:val="VerbatimChar"/>
        </w:rPr>
        <w:t xml:space="preserve">suspected/fraud = yes</w:t>
      </w:r>
      <w:r>
        <w:t xml:space="preserve">)</w:t>
      </w:r>
    </w:p>
    <w:p>
      <w:pPr>
        <w:pStyle w:val="FirstParagraph"/>
      </w:pPr>
      <w:r>
        <w:t xml:space="preserve">To make the synthetic data usable for supervised learning, each 100-row block contains a controlled mixture of “in-limit” and “breach” examples, and the label is derived strictly from the breach type: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Transaction Value sheet</w:t>
      </w:r>
      <w:r>
        <w:t xml:space="preserve">: compare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to given daily/monthly limits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breach_type = none</w:t>
      </w:r>
      <w:r>
        <w:t xml:space="preserve"> </w:t>
      </w:r>
      <w:r>
        <w:t xml:space="preserve">→ label</w:t>
      </w:r>
      <w:r>
        <w:t xml:space="preserve"> </w:t>
      </w:r>
      <w:r>
        <w:rPr>
          <w:rStyle w:val="VerbatimChar"/>
        </w:rPr>
        <w:t xml:space="preserve">no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breach_type = daily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amount &gt; daily_limit</w:t>
      </w:r>
      <w:r>
        <w:t xml:space="preserve"> </w:t>
      </w:r>
      <w:r>
        <w:t xml:space="preserve">→ label</w:t>
      </w:r>
      <w:r>
        <w:t xml:space="preserve"> </w:t>
      </w:r>
      <w:r>
        <w:rPr>
          <w:rStyle w:val="VerbatimChar"/>
        </w:rPr>
        <w:t xml:space="preserve">yes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breach_type = monthly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amount &gt; monthly_limit</w:t>
      </w:r>
      <w:r>
        <w:t xml:space="preserve"> </w:t>
      </w:r>
      <w:r>
        <w:t xml:space="preserve">→ label</w:t>
      </w:r>
      <w:r>
        <w:t xml:space="preserve"> </w:t>
      </w:r>
      <w:r>
        <w:rPr>
          <w:rStyle w:val="VerbatimChar"/>
        </w:rPr>
        <w:t xml:space="preserve">yes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Transaction Volume sheet</w:t>
      </w:r>
      <w:r>
        <w:t xml:space="preserve">: create additional aggregate metrics (</w:t>
      </w:r>
      <w:r>
        <w:rPr>
          <w:rStyle w:val="VerbatimChar"/>
        </w:rPr>
        <w:t xml:space="preserve">daily_volume_actual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monthly_volume_actual</w:t>
      </w:r>
      <w:r>
        <w:t xml:space="preserve">) and label based on rulebook limits (these aggregates are added as extra columns; your original CSV schema is preserved too).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Transaction Frequency sheet</w:t>
      </w:r>
      <w:r>
        <w:t xml:space="preserve">: create additional metrics (</w:t>
      </w:r>
      <w:r>
        <w:rPr>
          <w:rStyle w:val="VerbatimChar"/>
        </w:rPr>
        <w:t xml:space="preserve">daily_txn_count_actual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monthly_txn_count_actual</w:t>
      </w:r>
      <w:r>
        <w:t xml:space="preserve">) and label based on exceeding frequency limits (again added as extra columns).</w:t>
      </w:r>
    </w:p>
    <w:p>
      <w:pPr>
        <w:pStyle w:val="FirstParagraph"/>
      </w:pPr>
      <w:r>
        <w:t xml:space="preserve">This approach is directly aligned with best practice for synthetic data when you have</w:t>
      </w:r>
      <w:r>
        <w:t xml:space="preserve"> </w:t>
      </w:r>
      <w:r>
        <w:rPr>
          <w:b/>
          <w:bCs/>
        </w:rPr>
        <w:t xml:space="preserve">explicit business constraints</w:t>
      </w:r>
      <w:r>
        <w:t xml:space="preserve">: the constraints drive deterministic validity/labels, rather than relying on an unconstrained generator to “learn” them probabilistically. SDV’s documentation explicitly frames constraints as the mechanism to ensure deterministic rules hold 100% of the time.</w:t>
      </w:r>
      <w:r>
        <w:t xml:space="preserve"> </w:t>
      </w:r>
      <w:hyperlink r:id="rId26">
        <w:r>
          <w:rPr>
            <w:rStyle w:val="Hyperlink"/>
          </w:rPr>
          <w:t xml:space="preserve">[4]</w:t>
        </w:r>
      </w:hyperlink>
    </w:p>
    <w:bookmarkEnd w:id="27"/>
    <w:bookmarkEnd w:id="28"/>
    <w:bookmarkStart w:id="42" w:name="X450681b162130869841e845790cf08a462e70f6"/>
    <w:p>
      <w:pPr>
        <w:pStyle w:val="Heading2"/>
      </w:pPr>
      <w:r>
        <w:t xml:space="preserve">Generated outputs: 100 records per row, per sheet, with “highlighting”</w:t>
      </w:r>
    </w:p>
    <w:bookmarkStart w:id="29" w:name="what-was-generated"/>
    <w:p>
      <w:pPr>
        <w:pStyle w:val="Heading3"/>
      </w:pPr>
      <w:r>
        <w:t xml:space="preserve">What was generated</w:t>
      </w:r>
    </w:p>
    <w:p>
      <w:pPr>
        <w:pStyle w:val="FirstParagraph"/>
      </w:pPr>
      <w:r>
        <w:t xml:space="preserve">Your workbook has 72 scenario rows in each sheet:</w:t>
      </w:r>
    </w:p>
    <w:p>
      <w:pPr>
        <w:pStyle w:val="Compact"/>
        <w:numPr>
          <w:ilvl w:val="0"/>
          <w:numId w:val="1006"/>
        </w:numPr>
      </w:pPr>
      <w:r>
        <w:t xml:space="preserve">72 rows × 100 records =</w:t>
      </w:r>
      <w:r>
        <w:t xml:space="preserve"> </w:t>
      </w:r>
      <w:r>
        <w:rPr>
          <w:b/>
          <w:bCs/>
        </w:rPr>
        <w:t xml:space="preserve">7,200</w:t>
      </w:r>
      <w:r>
        <w:t xml:space="preserve"> </w:t>
      </w:r>
      <w:r>
        <w:t xml:space="preserve">synthetic records per sheet</w:t>
      </w:r>
    </w:p>
    <w:p>
      <w:pPr>
        <w:pStyle w:val="Compact"/>
        <w:numPr>
          <w:ilvl w:val="0"/>
          <w:numId w:val="1006"/>
        </w:numPr>
      </w:pPr>
      <w:r>
        <w:t xml:space="preserve">Across 3 sheets =</w:t>
      </w:r>
      <w:r>
        <w:t xml:space="preserve"> </w:t>
      </w:r>
      <w:r>
        <w:rPr>
          <w:b/>
          <w:bCs/>
        </w:rPr>
        <w:t xml:space="preserve">21,600</w:t>
      </w:r>
      <w:r>
        <w:t xml:space="preserve"> </w:t>
      </w:r>
      <w:r>
        <w:t xml:space="preserve">synthetic records total</w:t>
      </w:r>
    </w:p>
    <w:p>
      <w:pPr>
        <w:pStyle w:val="FirstParagraph"/>
      </w:pPr>
      <w:r>
        <w:t xml:space="preserve">Each record includes:</w:t>
      </w:r>
      <w:r>
        <w:t xml:space="preserve"> </w:t>
      </w:r>
      <w:r>
        <w:t xml:space="preserve">- All columns from the processed transaction schema (matching the structure of your sample CSV).</w:t>
      </w:r>
      <w:r>
        <w:t xml:space="preserve"> </w:t>
      </w:r>
      <w:r>
        <w:t xml:space="preserve">- Extra traceability columns so you can filter and “highlight” scenario blocks: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rule_transaction_type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rule_resident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rule_nationality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rule_risk_level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breach_type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)</w:t>
      </w:r>
      <w:r>
        <w:t xml:space="preserve"> </w:t>
      </w:r>
      <w:r>
        <w:t xml:space="preserve">- plus sheet-specific “actual” columns for volume/frequency scenarios.</w:t>
      </w:r>
    </w:p>
    <w:bookmarkEnd w:id="29"/>
    <w:bookmarkStart w:id="39" w:name="files-you-can-download"/>
    <w:p>
      <w:pPr>
        <w:pStyle w:val="Heading3"/>
      </w:pPr>
      <w:r>
        <w:t xml:space="preserve">Files you can download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Download the highlighted Excel workbook</w:t>
        </w:r>
      </w:hyperlink>
      <w:r>
        <w:br/>
      </w:r>
      <w:r>
        <w:t xml:space="preserve">Contains: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data_frequency</w:t>
      </w:r>
      <w:r>
        <w:t xml:space="preserve"> </w:t>
      </w:r>
      <w:r>
        <w:t xml:space="preserve">sheets (7,200 rows each)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summary_breach_counts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fraud_rate_by_rule</w:t>
      </w:r>
      <w:r>
        <w:t xml:space="preserve"> </w:t>
      </w:r>
      <w:r>
        <w:t xml:space="preserve">Rows with</w:t>
      </w:r>
      <w:r>
        <w:t xml:space="preserve"> </w:t>
      </w:r>
      <w:r>
        <w:rPr>
          <w:rStyle w:val="VerbatimChar"/>
        </w:rPr>
        <w:t xml:space="preserve">breach_type != "none"</w:t>
      </w:r>
      <w:r>
        <w:t xml:space="preserve"> </w:t>
      </w:r>
      <w:r>
        <w:t xml:space="preserve">are shaded for quick visual scanning.</w:t>
      </w:r>
    </w:p>
    <w:p>
      <w:pPr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Download combined dataset (21,600 rows)</w:t>
        </w:r>
      </w:hyperlink>
    </w:p>
    <w:p>
      <w:pPr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Download Transaction Value synthetic dataset (7,200 rows)</w:t>
        </w:r>
      </w:hyperlink>
    </w:p>
    <w:p>
      <w:pPr>
        <w:numPr>
          <w:ilvl w:val="0"/>
          <w:numId w:val="1007"/>
        </w:numPr>
      </w:pPr>
      <w:hyperlink r:id="rId33">
        <w:r>
          <w:rPr>
            <w:rStyle w:val="Hyperlink"/>
          </w:rPr>
          <w:t xml:space="preserve">Download Transaction Volume synthetic dataset (7,200 rows)</w:t>
        </w:r>
      </w:hyperlink>
    </w:p>
    <w:p>
      <w:pPr>
        <w:numPr>
          <w:ilvl w:val="0"/>
          <w:numId w:val="1007"/>
        </w:numPr>
      </w:pPr>
      <w:hyperlink r:id="rId34">
        <w:r>
          <w:rPr>
            <w:rStyle w:val="Hyperlink"/>
          </w:rPr>
          <w:t xml:space="preserve">Download Transaction Frequency synthetic dataset (7,200 rows)</w:t>
        </w:r>
      </w:hyperlink>
    </w:p>
    <w:p>
      <w:pPr>
        <w:numPr>
          <w:ilvl w:val="0"/>
          <w:numId w:val="1007"/>
        </w:numPr>
      </w:pPr>
      <w:hyperlink r:id="rId35">
        <w:r>
          <w:rPr>
            <w:rStyle w:val="Hyperlink"/>
          </w:rPr>
          <w:t xml:space="preserve">Download breach-count summary by rule</w:t>
        </w:r>
      </w:hyperlink>
    </w:p>
    <w:p>
      <w:pPr>
        <w:numPr>
          <w:ilvl w:val="0"/>
          <w:numId w:val="1007"/>
        </w:numPr>
      </w:pPr>
      <w:hyperlink r:id="rId36">
        <w:r>
          <w:rPr>
            <w:rStyle w:val="Hyperlink"/>
          </w:rPr>
          <w:t xml:space="preserve">Download fraud-rate summary by rule</w:t>
        </w:r>
      </w:hyperlink>
    </w:p>
    <w:p>
      <w:pPr>
        <w:numPr>
          <w:ilvl w:val="0"/>
          <w:numId w:val="1007"/>
        </w:numPr>
      </w:pPr>
      <w:hyperlink r:id="rId37">
        <w:r>
          <w:rPr>
            <w:rStyle w:val="Hyperlink"/>
          </w:rPr>
          <w:t xml:space="preserve">Download rule manifest extracted from your workbook</w:t>
        </w:r>
      </w:hyperlink>
    </w:p>
    <w:p>
      <w:pPr>
        <w:pStyle w:val="FirstParagraph"/>
      </w:pPr>
      <w:r>
        <w:t xml:space="preserve">If you need a “strict schema only” dataset (no extra columns), use: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Download combined strict-schema dataset</w:t>
        </w:r>
      </w:hyperlink>
    </w:p>
    <w:bookmarkEnd w:id="39"/>
    <w:bookmarkStart w:id="40" w:name="X7898c3db6650abd1cd0db573900e2dd6919565a"/>
    <w:p>
      <w:pPr>
        <w:pStyle w:val="Heading3"/>
      </w:pPr>
      <w:r>
        <w:t xml:space="preserve">Quick quality snapshot of the generated data</w:t>
      </w:r>
    </w:p>
    <w:p>
      <w:pPr>
        <w:pStyle w:val="FirstParagraph"/>
      </w:pPr>
      <w:r>
        <w:t xml:space="preserve">Across the full combined dataset (21,600 rows):</w:t>
      </w:r>
    </w:p>
    <w:p>
      <w:pPr>
        <w:pStyle w:val="Compact"/>
        <w:numPr>
          <w:ilvl w:val="0"/>
          <w:numId w:val="1008"/>
        </w:numPr>
      </w:pPr>
      <w:r>
        <w:t xml:space="preserve">Each scenario row has exactly</w:t>
      </w:r>
      <w:r>
        <w:t xml:space="preserve"> </w:t>
      </w:r>
      <w:r>
        <w:rPr>
          <w:b/>
          <w:bCs/>
        </w:rPr>
        <w:t xml:space="preserve">100</w:t>
      </w:r>
      <w:r>
        <w:t xml:space="preserve"> </w:t>
      </w:r>
      <w:r>
        <w:t xml:space="preserve">generated records.</w:t>
      </w:r>
    </w:p>
    <w:p>
      <w:pPr>
        <w:pStyle w:val="Compact"/>
        <w:numPr>
          <w:ilvl w:val="0"/>
          <w:numId w:val="1008"/>
        </w:numPr>
      </w:pPr>
      <w:r>
        <w:t xml:space="preserve">Overall fraud label rate is ~</w:t>
      </w:r>
      <w:r>
        <w:rPr>
          <w:b/>
          <w:bCs/>
        </w:rPr>
        <w:t xml:space="preserve">25%</w:t>
      </w:r>
      <w:r>
        <w:t xml:space="preserve"> </w:t>
      </w:r>
      <w:r>
        <w:t xml:space="preserve">(by design, to include enough positive examples for training).</w:t>
      </w:r>
    </w:p>
    <w:p>
      <w:pPr>
        <w:pStyle w:val="Compact"/>
        <w:numPr>
          <w:ilvl w:val="0"/>
          <w:numId w:val="1008"/>
        </w:numPr>
      </w:pPr>
      <w:r>
        <w:t xml:space="preserve">The six broad</w:t>
      </w:r>
      <w:r>
        <w:t xml:space="preserve"> </w:t>
      </w:r>
      <w:r>
        <w:rPr>
          <w:rStyle w:val="VerbatimChar"/>
        </w:rPr>
        <w:t xml:space="preserve">txn_category</w:t>
      </w:r>
      <w:r>
        <w:t xml:space="preserve"> </w:t>
      </w:r>
      <w:r>
        <w:t xml:space="preserve">values are balanced across the dataset, ensuring your model sees each scenario family in similar volume.</w:t>
      </w:r>
    </w:p>
    <w:bookmarkEnd w:id="40"/>
    <w:bookmarkStart w:id="41" w:name="scaling-to-50000100000-records"/>
    <w:p>
      <w:pPr>
        <w:pStyle w:val="Heading3"/>
      </w:pPr>
      <w:r>
        <w:t xml:space="preserve">Scaling to 50,000–100,000+ records</w:t>
      </w:r>
    </w:p>
    <w:p>
      <w:pPr>
        <w:pStyle w:val="FirstParagraph"/>
      </w:pPr>
      <w:r>
        <w:t xml:space="preserve">Right now you have 216 scenario rows (72 × 3). To scale: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50k target</w:t>
      </w:r>
      <w:r>
        <w:t xml:space="preserve">: use ~</w:t>
      </w:r>
      <w:r>
        <w:rPr>
          <w:b/>
          <w:bCs/>
        </w:rPr>
        <w:t xml:space="preserve">250 records per rule row</w:t>
      </w:r>
      <w:r>
        <w:t xml:space="preserve"> </w:t>
      </w:r>
      <w:r>
        <w:t xml:space="preserve">→ 216 × 250 =</w:t>
      </w:r>
      <w:r>
        <w:t xml:space="preserve"> </w:t>
      </w:r>
      <w:r>
        <w:rPr>
          <w:b/>
          <w:bCs/>
        </w:rPr>
        <w:t xml:space="preserve">54,000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100k target</w:t>
      </w:r>
      <w:r>
        <w:t xml:space="preserve">: use</w:t>
      </w:r>
      <w:r>
        <w:t xml:space="preserve"> </w:t>
      </w:r>
      <w:r>
        <w:rPr>
          <w:b/>
          <w:bCs/>
        </w:rPr>
        <w:t xml:space="preserve">500 records per rule row</w:t>
      </w:r>
      <w:r>
        <w:t xml:space="preserve"> </w:t>
      </w:r>
      <w:r>
        <w:t xml:space="preserve">→ 216 × 500 =</w:t>
      </w:r>
      <w:r>
        <w:t xml:space="preserve"> </w:t>
      </w:r>
      <w:r>
        <w:rPr>
          <w:b/>
          <w:bCs/>
        </w:rPr>
        <w:t xml:space="preserve">108,000</w:t>
      </w:r>
    </w:p>
    <w:p>
      <w:pPr>
        <w:pStyle w:val="FirstParagraph"/>
      </w:pPr>
      <w:r>
        <w:t xml:space="preserve">The most robust way to scale is:</w:t>
      </w:r>
      <w:r>
        <w:t xml:space="preserve"> </w:t>
      </w:r>
      <w:r>
        <w:t xml:space="preserve">- Keep a</w:t>
      </w:r>
      <w:r>
        <w:t xml:space="preserve"> </w:t>
      </w:r>
      <w:r>
        <w:rPr>
          <w:b/>
          <w:bCs/>
        </w:rPr>
        <w:t xml:space="preserve">fixed minimum per scenario</w:t>
      </w:r>
      <w:r>
        <w:t xml:space="preserve"> </w:t>
      </w:r>
      <w:r>
        <w:t xml:space="preserve">(to guarantee coverage), then</w:t>
      </w:r>
      <w:r>
        <w:t xml:space="preserve"> </w:t>
      </w:r>
      <w:r>
        <w:t xml:space="preserve">- Add extra samples weighted by how common each scenario is in real operations (if you have any historical frequency estimates).</w:t>
      </w:r>
    </w:p>
    <w:p>
      <w:pPr>
        <w:pStyle w:val="BodyText"/>
      </w:pPr>
      <w:r>
        <w:t xml:space="preserve">For even more realism at high volumes, consider training a tabular synthesiser (e.g., SDV) on your cleaned sample and using</w:t>
      </w:r>
      <w:r>
        <w:t xml:space="preserve"> </w:t>
      </w:r>
      <w:r>
        <w:rPr>
          <w:b/>
          <w:bCs/>
        </w:rPr>
        <w:t xml:space="preserve">constraints</w:t>
      </w:r>
      <w:r>
        <w:t xml:space="preserve"> </w:t>
      </w:r>
      <w:r>
        <w:t xml:space="preserve">/ conditional sampling to preserve your business limits. SDV is designed for on-demand sampling and includes evaluation tooling and metadata typing to improve fidelity.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bookmarkEnd w:id="41"/>
    <w:bookmarkEnd w:id="42"/>
    <w:bookmarkStart w:id="44" w:name="X8d23731cc5eb3e8678a5092e982a861fdef63c9"/>
    <w:p>
      <w:pPr>
        <w:pStyle w:val="Heading2"/>
      </w:pPr>
      <w:r>
        <w:t xml:space="preserve">Feature engineering for your schema: cleaning and transformations that matter</w:t>
      </w:r>
    </w:p>
    <w:p>
      <w:pPr>
        <w:pStyle w:val="FirstParagraph"/>
      </w:pPr>
      <w:r>
        <w:t xml:space="preserve">Because your schema includes mixed types (numeric, categorical text, flags, IDs), the feature engineering should be explicit and repeatable.</w:t>
      </w:r>
    </w:p>
    <w:p>
      <w:pPr>
        <w:pStyle w:val="BodyText"/>
      </w:pPr>
      <w:r>
        <w:t xml:space="preserve">Key transformations that typically matter for transaction datasets: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Normalise labels</w:t>
      </w:r>
      <w:r>
        <w:t xml:space="preserve">: your sample shows mixed casing; enforce</w:t>
      </w:r>
      <w:r>
        <w:t xml:space="preserve"> </w:t>
      </w:r>
      <w:r>
        <w:rPr>
          <w:rStyle w:val="VerbatimChar"/>
        </w:rPr>
        <w:t xml:space="preserve">yes/no</w:t>
      </w:r>
      <w:r>
        <w:t xml:space="preserve"> </w:t>
      </w:r>
      <w:r>
        <w:t xml:space="preserve">consistently.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Trim whitespace</w:t>
      </w:r>
      <w:r>
        <w:t xml:space="preserve"> </w:t>
      </w:r>
      <w:r>
        <w:t xml:space="preserve">across categorical columns: avoids “same category, different string”.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Coerce numeric 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fee_amount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risk_score_channel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mcc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exchange_rate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Handle missingness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For numeric: median imputation is a strong baseline.</w:t>
      </w:r>
    </w:p>
    <w:p>
      <w:pPr>
        <w:pStyle w:val="Compact"/>
        <w:numPr>
          <w:ilvl w:val="0"/>
          <w:numId w:val="1010"/>
        </w:numPr>
      </w:pPr>
      <w:r>
        <w:t xml:space="preserve">For categorical: most-frequent (or explicit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) is common.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Encode categoricals</w:t>
      </w:r>
      <w:r>
        <w:t xml:space="preserve">: OneHotEncoder with</w:t>
      </w:r>
      <w:r>
        <w:t xml:space="preserve"> </w:t>
      </w:r>
      <w:r>
        <w:rPr>
          <w:rStyle w:val="VerbatimChar"/>
        </w:rPr>
        <w:t xml:space="preserve">handle_unknown="ignore"</w:t>
      </w:r>
      <w:r>
        <w:t xml:space="preserve"> </w:t>
      </w:r>
      <w:r>
        <w:t xml:space="preserve">prevents failures at inference when new categories appear.</w:t>
      </w:r>
      <w:r>
        <w:t xml:space="preserve"> </w:t>
      </w:r>
      <w:hyperlink r:id="rId43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the entire preprocessing + model as a single Pipeline</w:t>
      </w:r>
      <w:r>
        <w:t xml:space="preserve"> </w:t>
      </w:r>
      <w:r>
        <w:t xml:space="preserve">to ensure training and inference transformations are identical.</w:t>
      </w:r>
      <w:r>
        <w:t xml:space="preserve"> </w:t>
      </w:r>
      <w:hyperlink r:id="rId43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If you later introduce timestamps/customer IDs to model real “volume”/“frequency” behaviour, you’ll typically add:</w:t>
      </w:r>
      <w:r>
        <w:t xml:space="preserve"> </w:t>
      </w:r>
      <w:r>
        <w:t xml:space="preserve">- rolling counts and sums (per device/customer/counterparty) over 1 day / 7 days / 30 days,</w:t>
      </w:r>
      <w:r>
        <w:t xml:space="preserve"> </w:t>
      </w:r>
      <w:r>
        <w:t xml:space="preserve">- ratios like</w:t>
      </w:r>
      <w:r>
        <w:t xml:space="preserve"> </w:t>
      </w:r>
      <w:r>
        <w:rPr>
          <w:rStyle w:val="VerbatimChar"/>
        </w:rPr>
        <w:t xml:space="preserve">amount / daily_avg_amount</w:t>
      </w:r>
      <w:r>
        <w:t xml:space="preserve">,</w:t>
      </w:r>
      <w:r>
        <w:t xml:space="preserve"> </w:t>
      </w:r>
      <w:r>
        <w:t xml:space="preserve">- “first time seen” features for device/counterparty.</w:t>
      </w:r>
    </w:p>
    <w:bookmarkEnd w:id="44"/>
    <w:bookmarkStart w:id="48" w:name="X2286c69a6086735dd0947bf0074add1799e5ffe"/>
    <w:p>
      <w:pPr>
        <w:pStyle w:val="Heading2"/>
      </w:pPr>
      <w:r>
        <w:t xml:space="preserve">Training API that reads CSV and saves a pickle-compatible artefact</w:t>
      </w:r>
    </w:p>
    <w:p>
      <w:pPr>
        <w:pStyle w:val="FirstParagraph"/>
      </w:pPr>
      <w:r>
        <w:t xml:space="preserve">You asked for: “Create an API to read a CSV file and generate a pickle file”.</w:t>
      </w:r>
    </w:p>
    <w:p>
      <w:pPr>
        <w:pStyle w:val="BodyText"/>
      </w:pPr>
      <w:r>
        <w:t xml:space="preserve">A production-safe baseline is: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FastAPI</w:t>
      </w:r>
      <w:r>
        <w:t xml:space="preserve"> </w:t>
      </w:r>
      <w:r>
        <w:t xml:space="preserve">endpoint that accepts a CSV via multipart upload (</w:t>
      </w:r>
      <w:r>
        <w:rPr>
          <w:rStyle w:val="VerbatimChar"/>
        </w:rPr>
        <w:t xml:space="preserve">UploadFile</w:t>
      </w:r>
      <w:r>
        <w:t xml:space="preserve">), reads into pandas, trains a scikit-learn pipeline, then persists using</w:t>
      </w:r>
      <w:r>
        <w:t xml:space="preserve"> </w:t>
      </w:r>
      <w:r>
        <w:rPr>
          <w:rStyle w:val="VerbatimChar"/>
        </w:rPr>
        <w:t xml:space="preserve">joblib.dump</w:t>
      </w:r>
      <w:r>
        <w:t xml:space="preserve">. FastAPI’s official documentation shows the intended model for</w:t>
      </w:r>
      <w:r>
        <w:t xml:space="preserve"> </w:t>
      </w:r>
      <w:r>
        <w:rPr>
          <w:rStyle w:val="VerbatimChar"/>
        </w:rPr>
        <w:t xml:space="preserve">File</w:t>
      </w:r>
      <w:r>
        <w:t xml:space="preserve">/</w:t>
      </w:r>
      <w:r>
        <w:rPr>
          <w:rStyle w:val="VerbatimChar"/>
        </w:rPr>
        <w:t xml:space="preserve">UploadFile</w:t>
      </w:r>
      <w:r>
        <w:t xml:space="preserve"> </w:t>
      </w:r>
      <w:r>
        <w:t xml:space="preserve">inputs and notes you must install</w:t>
      </w:r>
      <w:r>
        <w:t xml:space="preserve"> </w:t>
      </w:r>
      <w:r>
        <w:rPr>
          <w:rStyle w:val="VerbatimChar"/>
        </w:rPr>
        <w:t xml:space="preserve">python-multipart</w:t>
      </w:r>
      <w:r>
        <w:t xml:space="preserve"> </w:t>
      </w:r>
      <w:r>
        <w:t xml:space="preserve">for form-based uploads.</w:t>
      </w:r>
      <w:r>
        <w:t xml:space="preserve"> </w:t>
      </w:r>
      <w:hyperlink r:id="rId45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11"/>
        </w:numPr>
      </w:pPr>
      <w:r>
        <w:rPr>
          <w:b/>
          <w:bCs/>
        </w:rPr>
        <w:t xml:space="preserve">Model persistence considerations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scikit-learn recommends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for efficiency with estimators containing large NumPy arrays, but it is still pickle-based and therefore unsafe to load from untrusted sources.</w:t>
      </w:r>
      <w:r>
        <w:t xml:space="preserve"> </w:t>
      </w:r>
      <w:hyperlink r:id="rId46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t xml:space="preserve">Starter package (feature engineering + training + FastAPI trainer):</w:t>
      </w:r>
    </w:p>
    <w:p>
      <w:pPr>
        <w:pStyle w:val="Compact"/>
        <w:numPr>
          <w:ilvl w:val="0"/>
          <w:numId w:val="1012"/>
        </w:numPr>
      </w:pPr>
      <w:hyperlink r:id="rId47">
        <w:r>
          <w:rPr>
            <w:rStyle w:val="Hyperlink"/>
          </w:rPr>
          <w:t xml:space="preserve">Download the training API starter ZIP</w:t>
        </w:r>
      </w:hyperlink>
    </w:p>
    <w:p>
      <w:pPr>
        <w:pStyle w:val="FirstParagraph"/>
      </w:pPr>
      <w:r>
        <w:t xml:space="preserve">Inside you’ll find: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feature_engineering.py</w:t>
      </w:r>
      <w:r>
        <w:t xml:space="preserve"> </w:t>
      </w:r>
      <w:r>
        <w:t xml:space="preserve">(cleaning and label normalisation)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train_model.py</w:t>
      </w:r>
      <w:r>
        <w:t xml:space="preserve"> </w:t>
      </w:r>
      <w:r>
        <w:t xml:space="preserve">(ColumnTransformer + OneHotEncoder + logistic regression baseline)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train_api.py</w:t>
      </w:r>
      <w:r>
        <w:t xml:space="preserve"> </w:t>
      </w:r>
      <w:r>
        <w:t xml:space="preserve">(FastAPI</w:t>
      </w:r>
      <w:r>
        <w:t xml:space="preserve"> </w:t>
      </w:r>
      <w:r>
        <w:rPr>
          <w:rStyle w:val="VerbatimChar"/>
        </w:rPr>
        <w:t xml:space="preserve">/train</w:t>
      </w:r>
      <w:r>
        <w:t xml:space="preserve"> </w:t>
      </w:r>
      <w:r>
        <w:t xml:space="preserve">endpoint that saves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+ metrics)</w:t>
      </w:r>
    </w:p>
    <w:p>
      <w:pPr>
        <w:pStyle w:val="BodyText"/>
      </w:pPr>
      <w:r>
        <w:t xml:space="preserve">The scikit-learn Pipeline / ColumnTransformer pattern used in the starter follows the documented approach for mixed numeric and categorical columns.</w:t>
      </w:r>
      <w:r>
        <w:t xml:space="preserve"> </w:t>
      </w:r>
      <w:hyperlink r:id="rId43">
        <w:r>
          <w:rPr>
            <w:rStyle w:val="Hyperlink"/>
          </w:rPr>
          <w:t xml:space="preserve">[6]</w:t>
        </w:r>
      </w:hyperlink>
    </w:p>
    <w:bookmarkEnd w:id="48"/>
    <w:bookmarkStart w:id="49" w:name="X1671dd588c6d44b7f0db63d114a34cf11b4a85c"/>
    <w:p>
      <w:pPr>
        <w:pStyle w:val="Heading2"/>
      </w:pPr>
      <w:r>
        <w:t xml:space="preserve">Validation checks to keep synthetic data useful</w:t>
      </w:r>
    </w:p>
    <w:p>
      <w:pPr>
        <w:pStyle w:val="FirstParagraph"/>
      </w:pPr>
      <w:r>
        <w:t xml:space="preserve">Synthetic data often “looks right” but fails model training if it breaks hidden assumptions. The most valuable validations for your setup are: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Rule compliance tests</w:t>
      </w:r>
      <w:r>
        <w:t xml:space="preserve">: for each scenario row, verify:</w:t>
      </w:r>
    </w:p>
    <w:p>
      <w:pPr>
        <w:pStyle w:val="Compact"/>
        <w:numPr>
          <w:ilvl w:val="0"/>
          <w:numId w:val="1013"/>
        </w:numPr>
      </w:pPr>
      <w:r>
        <w:t xml:space="preserve">“none” cases never exceed limits,</w:t>
      </w:r>
    </w:p>
    <w:p>
      <w:pPr>
        <w:pStyle w:val="Compact"/>
        <w:numPr>
          <w:ilvl w:val="0"/>
          <w:numId w:val="1013"/>
        </w:numPr>
      </w:pPr>
      <w:r>
        <w:t xml:space="preserve">“daily” cases exceed daily limits but not necessarily monthly,</w:t>
      </w:r>
    </w:p>
    <w:p>
      <w:pPr>
        <w:pStyle w:val="Compact"/>
        <w:numPr>
          <w:ilvl w:val="0"/>
          <w:numId w:val="1013"/>
        </w:numPr>
      </w:pPr>
      <w:r>
        <w:t xml:space="preserve">“monthly” cases exceed monthly limits.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Schema conformance</w:t>
      </w:r>
      <w:r>
        <w:t xml:space="preserve">: column presence, dtypes, and allowed category sets.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Distribution sanity</w:t>
      </w:r>
      <w:r>
        <w:t xml:space="preserve">: compare key marginals (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txn_category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counterparty_country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risk_score_channel</w:t>
      </w:r>
      <w:r>
        <w:t xml:space="preserve">) between sample and synthetic, and ensure you’re not introducing impossible combinations (e.g., cross-border category with domestic-only country).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Train–serve parity</w:t>
      </w:r>
      <w:r>
        <w:t xml:space="preserve">: always persist the full preprocessing+model pipeline, not just the estimator.</w:t>
      </w:r>
      <w:r>
        <w:t xml:space="preserve"> </w:t>
      </w:r>
      <w:hyperlink r:id="rId43">
        <w:r>
          <w:rPr>
            <w:rStyle w:val="Hyperlink"/>
          </w:rPr>
          <w:t xml:space="preserve">[9]</w:t>
        </w:r>
      </w:hyperlink>
    </w:p>
    <w:p>
      <w:pPr>
        <w:pStyle w:val="FirstParagraph"/>
      </w:pPr>
      <w:r>
        <w:t xml:space="preserve">If you decide to move from rule-based synthesis to a generative synthesiser, incorporate constraints for deterministic rules—SDV treats constraints as the mechanism to guarantee rule satisfaction in synthetic output.</w:t>
      </w:r>
      <w:r>
        <w:t xml:space="preserve"> </w:t>
      </w:r>
      <w:hyperlink r:id="rId26">
        <w:r>
          <w:rPr>
            <w:rStyle w:val="Hyperlink"/>
          </w:rPr>
          <w:t xml:space="preserve">[4]</w:t>
        </w:r>
      </w:hyperlink>
    </w:p>
    <w:bookmarkEnd w:id="49"/>
    <w:bookmarkEnd w:id="50"/>
    <w:bookmarkEnd w:id="51"/>
    <w:p>
      <w:r>
        <w:pict>
          <v:rect style="width:0;height:1.5pt" o:hralign="center" o:hrstd="t" o:hr="t"/>
        </w:pict>
      </w:r>
    </w:p>
    <w:bookmarkStart w:id="5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Welcome to the SDV! | Synthetic Data Vault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https://docs.sdv.dev/sdv?utm_source=chatgpt.com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faker.providers.bank — Faker 40.11.0 documentation</w:t>
      </w:r>
    </w:p>
    <w:p>
      <w:pPr>
        <w:pStyle w:val="BodyText"/>
      </w:pPr>
      <w:hyperlink r:id="rId23">
        <w:r>
          <w:rPr>
            <w:rStyle w:val="Hyperlink"/>
          </w:rPr>
          <w:t xml:space="preserve">https://faker.readthedocs.io/en/master/providers/faker.providers.bank.html?utm_source=chatgpt.com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faker.providers.internet — Faker 40.8.0 documentation</w:t>
      </w:r>
    </w:p>
    <w:p>
      <w:pPr>
        <w:pStyle w:val="BodyText"/>
      </w:pPr>
      <w:hyperlink r:id="rId24">
        <w:r>
          <w:rPr>
            <w:rStyle w:val="Hyperlink"/>
          </w:rPr>
          <w:t xml:space="preserve">https://faker.readthedocs.io/en/latest/providers/faker.providers.internet.html?utm_source=chatgpt.com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Constraints | Synthetic Data Vault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https://docs.sdv.dev/sdv/single-table-data/modeling/customizations/constraints?utm_source=chatgpt.com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[6]</w:t>
        </w:r>
      </w:hyperlink>
      <w:r>
        <w:t xml:space="preserve"> </w:t>
      </w:r>
      <w:hyperlink r:id="rId4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Column Transformer with Mixed Types — scikit-learn 1.8.0 documentation</w:t>
      </w:r>
    </w:p>
    <w:p>
      <w:pPr>
        <w:pStyle w:val="BodyText"/>
      </w:pPr>
      <w:hyperlink r:id="rId43">
        <w:r>
          <w:rPr>
            <w:rStyle w:val="Hyperlink"/>
          </w:rPr>
          <w:t xml:space="preserve">https://scikit-learn.org/1.8/auto_examples/compose/plot_column_transformer_mixed_types.html?utm_source=chatgpt.com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Request Files - FastAPI</w:t>
      </w:r>
    </w:p>
    <w:p>
      <w:pPr>
        <w:pStyle w:val="BodyText"/>
      </w:pPr>
      <w:hyperlink r:id="rId45">
        <w:r>
          <w:rPr>
            <w:rStyle w:val="Hyperlink"/>
          </w:rPr>
          <w:t xml:space="preserve">https://fastapi.tiangolo.com/tutorial/request-files/?utm_source=chatgpt.com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10. Model persistence — scikit-learn 1.8.0 documentation</w:t>
      </w:r>
    </w:p>
    <w:p>
      <w:pPr>
        <w:pStyle w:val="BodyText"/>
      </w:pPr>
      <w:hyperlink r:id="rId46">
        <w:r>
          <w:rPr>
            <w:rStyle w:val="Hyperlink"/>
          </w:rPr>
          <w:t xml:space="preserve">https://scikit-learn.org/stable/model_persistence.html?utm_source=chatgpt.com</w:t>
        </w:r>
      </w:hyperlink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ocs.sdv.dev/sdv/single-table-data/modeling/customizations/constraints?utm_source=chatgpt.com" TargetMode="External" /><Relationship Type="http://schemas.openxmlformats.org/officeDocument/2006/relationships/hyperlink" Id="rId21" Target="https://docs.sdv.dev/sdv?utm_source=chatgpt.com" TargetMode="External" /><Relationship Type="http://schemas.openxmlformats.org/officeDocument/2006/relationships/hyperlink" Id="rId24" Target="https://faker.readthedocs.io/en/latest/providers/faker.providers.internet.html?utm_source=chatgpt.com" TargetMode="External" /><Relationship Type="http://schemas.openxmlformats.org/officeDocument/2006/relationships/hyperlink" Id="rId23" Target="https://faker.readthedocs.io/en/master/providers/faker.providers.bank.html?utm_source=chatgpt.com" TargetMode="External" /><Relationship Type="http://schemas.openxmlformats.org/officeDocument/2006/relationships/hyperlink" Id="rId45" Target="https://fastapi.tiangolo.com/tutorial/request-files/?utm_source=chatgpt.com" TargetMode="External" /><Relationship Type="http://schemas.openxmlformats.org/officeDocument/2006/relationships/hyperlink" Id="rId43" Target="https://scikit-learn.org/1.8/auto_examples/compose/plot_column_transformer_mixed_types.html?utm_source=chatgpt.com" TargetMode="External" /><Relationship Type="http://schemas.openxmlformats.org/officeDocument/2006/relationships/hyperlink" Id="rId46" Target="https://scikit-learn.org/stable/model_persistence.html?utm_source=chatgpt.com" TargetMode="External" /><Relationship Type="http://schemas.openxmlformats.org/officeDocument/2006/relationships/hyperlink" Id="rId37" Target="sandbox:/mnt/data/rules_manifest_from_threshold_book.csv" TargetMode="External" /><Relationship Type="http://schemas.openxmlformats.org/officeDocument/2006/relationships/hyperlink" Id="rId47" Target="sandbox:/mnt/data/synth_pipeline_starter.zip" TargetMode="External" /><Relationship Type="http://schemas.openxmlformats.org/officeDocument/2006/relationships/hyperlink" Id="rId36" Target="sandbox:/mnt/data/synthetic_fraud_rate_by_rule.csv" TargetMode="External" /><Relationship Type="http://schemas.openxmlformats.org/officeDocument/2006/relationships/hyperlink" Id="rId35" Target="sandbox:/mnt/data/synthetic_rules_breach_counts.csv" TargetMode="External" /><Relationship Type="http://schemas.openxmlformats.org/officeDocument/2006/relationships/hyperlink" Id="rId34" Target="sandbox:/mnt/data/synthetic_transaction_frequency_7200.csv" TargetMode="External" /><Relationship Type="http://schemas.openxmlformats.org/officeDocument/2006/relationships/hyperlink" Id="rId32" Target="sandbox:/mnt/data/synthetic_transaction_value_7200.csv" TargetMode="External" /><Relationship Type="http://schemas.openxmlformats.org/officeDocument/2006/relationships/hyperlink" Id="rId33" Target="sandbox:/mnt/data/synthetic_transaction_volume_7200.csv" TargetMode="External" /><Relationship Type="http://schemas.openxmlformats.org/officeDocument/2006/relationships/hyperlink" Id="rId31" Target="sandbox:/mnt/data/synthetic_transactions_combined_21600.csv" TargetMode="External" /><Relationship Type="http://schemas.openxmlformats.org/officeDocument/2006/relationships/hyperlink" Id="rId38" Target="sandbox:/mnt/data/synthetic_transactions_combined_strict_21600.csv" TargetMode="External" /><Relationship Type="http://schemas.openxmlformats.org/officeDocument/2006/relationships/hyperlink" Id="rId30" Target="sandbox:/mnt/data/synthetic_transactions_with_highlights.xl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sdv.dev/sdv/single-table-data/modeling/customizations/constraints?utm_source=chatgpt.com" TargetMode="External" /><Relationship Type="http://schemas.openxmlformats.org/officeDocument/2006/relationships/hyperlink" Id="rId21" Target="https://docs.sdv.dev/sdv?utm_source=chatgpt.com" TargetMode="External" /><Relationship Type="http://schemas.openxmlformats.org/officeDocument/2006/relationships/hyperlink" Id="rId24" Target="https://faker.readthedocs.io/en/latest/providers/faker.providers.internet.html?utm_source=chatgpt.com" TargetMode="External" /><Relationship Type="http://schemas.openxmlformats.org/officeDocument/2006/relationships/hyperlink" Id="rId23" Target="https://faker.readthedocs.io/en/master/providers/faker.providers.bank.html?utm_source=chatgpt.com" TargetMode="External" /><Relationship Type="http://schemas.openxmlformats.org/officeDocument/2006/relationships/hyperlink" Id="rId45" Target="https://fastapi.tiangolo.com/tutorial/request-files/?utm_source=chatgpt.com" TargetMode="External" /><Relationship Type="http://schemas.openxmlformats.org/officeDocument/2006/relationships/hyperlink" Id="rId43" Target="https://scikit-learn.org/1.8/auto_examples/compose/plot_column_transformer_mixed_types.html?utm_source=chatgpt.com" TargetMode="External" /><Relationship Type="http://schemas.openxmlformats.org/officeDocument/2006/relationships/hyperlink" Id="rId46" Target="https://scikit-learn.org/stable/model_persistence.html?utm_source=chatgpt.com" TargetMode="External" /><Relationship Type="http://schemas.openxmlformats.org/officeDocument/2006/relationships/hyperlink" Id="rId37" Target="sandbox:/mnt/data/rules_manifest_from_threshold_book.csv" TargetMode="External" /><Relationship Type="http://schemas.openxmlformats.org/officeDocument/2006/relationships/hyperlink" Id="rId47" Target="sandbox:/mnt/data/synth_pipeline_starter.zip" TargetMode="External" /><Relationship Type="http://schemas.openxmlformats.org/officeDocument/2006/relationships/hyperlink" Id="rId36" Target="sandbox:/mnt/data/synthetic_fraud_rate_by_rule.csv" TargetMode="External" /><Relationship Type="http://schemas.openxmlformats.org/officeDocument/2006/relationships/hyperlink" Id="rId35" Target="sandbox:/mnt/data/synthetic_rules_breach_counts.csv" TargetMode="External" /><Relationship Type="http://schemas.openxmlformats.org/officeDocument/2006/relationships/hyperlink" Id="rId34" Target="sandbox:/mnt/data/synthetic_transaction_frequency_7200.csv" TargetMode="External" /><Relationship Type="http://schemas.openxmlformats.org/officeDocument/2006/relationships/hyperlink" Id="rId32" Target="sandbox:/mnt/data/synthetic_transaction_value_7200.csv" TargetMode="External" /><Relationship Type="http://schemas.openxmlformats.org/officeDocument/2006/relationships/hyperlink" Id="rId33" Target="sandbox:/mnt/data/synthetic_transaction_volume_7200.csv" TargetMode="External" /><Relationship Type="http://schemas.openxmlformats.org/officeDocument/2006/relationships/hyperlink" Id="rId31" Target="sandbox:/mnt/data/synthetic_transactions_combined_21600.csv" TargetMode="External" /><Relationship Type="http://schemas.openxmlformats.org/officeDocument/2006/relationships/hyperlink" Id="rId38" Target="sandbox:/mnt/data/synthetic_transactions_combined_strict_21600.csv" TargetMode="External" /><Relationship Type="http://schemas.openxmlformats.org/officeDocument/2006/relationships/hyperlink" Id="rId30" Target="sandbox:/mnt/data/synthetic_transactions_with_highlights.xl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2026-03-31T10:00:10Z</dcterms:created>
  <dcterms:modified xsi:type="dcterms:W3CDTF">2026-03-31T10:00:10Z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