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6F43"/>
          <w:sz w:val="52"/>
          <w:szCs w:val="52"/>
        </w:rPr>
        <w:t xml:space="preserve">CLARITY CADDY</w:t>
      </w:r>
    </w:p>
    <w:p>
      <w:pPr>
        <w:spacing w:after="60"/>
      </w:pPr>
      <w:r>
        <w:rPr>
          <w:color w:val="2E2E2E"/>
          <w:sz w:val="30"/>
          <w:szCs w:val="30"/>
        </w:rPr>
        <w:t xml:space="preserve">Targeted Marketing Report — Regional Coverage Advantage</w:t>
      </w:r>
    </w:p>
    <w:p>
      <w:pPr>
        <w:pBdr>
          <w:bottom w:val="single" w:color="1F6F43" w:sz="6" w:space="8"/>
        </w:pBdr>
        <w:spacing w:after="400"/>
      </w:pPr>
      <w:r>
        <w:rPr>
          <w:i/>
          <w:iCs/>
          <w:color w:val="595959"/>
          <w:sz w:val="20"/>
          <w:szCs w:val="20"/>
        </w:rPr>
        <w:t xml:space="preserve">Internal planning document  ·  19 August 2026  ·  Draft for future campaigns</w:t>
      </w:r>
    </w:p>
    <w:p>
      <w:pPr>
        <w:pStyle w:val="Heading1"/>
        <w:spacing w:after="160" w:before="360"/>
      </w:pPr>
      <w:r>
        <w:rPr>
          <w:color w:val="1F6F43"/>
        </w:rPr>
        <w:t xml:space="preserve">Executive summary</w:t>
      </w:r>
    </w:p>
    <w:p>
      <w:pPr>
        <w:spacing w:after="160" w:line="276"/>
      </w:pPr>
      <w:r>
        <w:t xml:space="preserve">The large golf GPS apps claim forty-thousand-plus courses worldwide, and on paper that is true: almost every named course appears in their databases with basic yardages. Their weakness is depth. Outside their core markets and marquee clubs, they carry no hole lines, no real green shapes, stale post-renovation data, and generic satellite. Clarity Caddy's map pipeline attacks exactly that axis: anywhere OpenStreetMap carries hole geometry, a tap on a course produces real tee, fairway and green data automatically, and anywhere a licensed national imagery programme exists, the same tap triggers baked high-definition course frames that no incumbent matches. This report ranks world regions by how completely that advantage lands today, and what each tier is worth as a marketing story.</w:t>
      </w:r>
    </w:p>
    <w:p>
      <w:pPr>
        <w:spacing w:after="160" w:line="276"/>
      </w:pPr>
      <w:r>
        <w:t xml:space="preserve">The single most defensible claim available right now: </w:t>
      </w:r>
      <w:r>
        <w:rPr>
          <w:b/>
          <w:bCs/>
        </w:rPr>
        <w:t xml:space="preserve">“Every course in New Zealand, France and Spain — in HD.”</w:t>
      </w:r>
      <w:r>
        <w:t xml:space="preserve"> No incumbent can say it, and the pipeline that makes it true is already live.</w:t>
      </w:r>
    </w:p>
    <w:p>
      <w:pPr>
        <w:pStyle w:val="Heading1"/>
        <w:spacing w:after="160" w:before="360"/>
      </w:pPr>
      <w:r>
        <w:rPr>
          <w:color w:val="1F6F43"/>
        </w:rPr>
        <w:t xml:space="preserve">How the advantage works (one paragraph)</w:t>
      </w:r>
    </w:p>
    <w:p>
      <w:pPr>
        <w:spacing w:after="160" w:line="276"/>
      </w:pPr>
      <w:r>
        <w:t xml:space="preserve">When a player taps an unmapped course, the automapper reads the course's hole lines and green polygons from OpenStreetMap and resolves them into playable geometry in seconds. Where the course sits inside a licensed open-imagery region — New Zealand (LINZ), the United States (NAIP), Queensland, the Netherlands (PDOK), Spain (PNOA) or France (IGN) — the scan pipeline then bakes high-definition ortho frames and terrain relief for every hole, automatically. Everywhere else the course still plays over live Esri World Imagery with OSM as the final fallback, so no course on earth shows a blank map. Competitors rely on centrally maintained databases that a vendor must update by hand; our coverage grows wherever open data grows, at zero marginal cost.</w:t>
      </w:r>
    </w:p>
    <w:p>
      <w:pPr>
        <w:pStyle w:val="Heading1"/>
        <w:spacing w:after="160" w:before="360"/>
      </w:pPr>
      <w:r>
        <w:rPr>
          <w:color w:val="1F6F43"/>
        </w:rPr>
        <w:t xml:space="preserve">Coverage tiers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2960"/>
        <w:gridCol w:w="2900"/>
      </w:tblGrid>
      <w:tr>
        <w:trPr>
          <w:tblHeader/>
        </w:trPr>
        <w:tc>
          <w:tcPr>
            <w:tcW w:type="dxa" w:w="1150"/>
            <w:shd w:fill="E7F1EA" w:val="clear"/>
            <w:tcMar>
              <w:top w:type="dxa" w:w="80"/>
              <w:left w:type="dxa" w:w="120"/>
              <w:bottom w:type="dxa" w:w="80"/>
              <w:right w:type="dxa" w:w="120"/>
            </w:tcMar>
          </w:tcPr>
          <w:p>
            <w:pPr>
              <w:spacing w:after="0"/>
            </w:pPr>
            <w:r>
              <w:rPr>
                <w:b/>
                <w:bCs/>
                <w:sz w:val="20"/>
                <w:szCs w:val="20"/>
              </w:rPr>
              <w:t xml:space="preserve">Tier</w:t>
            </w:r>
          </w:p>
        </w:tc>
        <w:tc>
          <w:tcPr>
            <w:tcW w:type="dxa" w:w="2350"/>
            <w:shd w:fill="E7F1EA" w:val="clear"/>
            <w:tcMar>
              <w:top w:type="dxa" w:w="80"/>
              <w:left w:type="dxa" w:w="120"/>
              <w:bottom w:type="dxa" w:w="80"/>
              <w:right w:type="dxa" w:w="120"/>
            </w:tcMar>
          </w:tcPr>
          <w:p>
            <w:pPr>
              <w:spacing w:after="0"/>
            </w:pPr>
            <w:r>
              <w:rPr>
                <w:b/>
                <w:bCs/>
                <w:sz w:val="20"/>
                <w:szCs w:val="20"/>
              </w:rPr>
              <w:t xml:space="preserve">Regions</w:t>
            </w:r>
          </w:p>
        </w:tc>
        <w:tc>
          <w:tcPr>
            <w:tcW w:type="dxa" w:w="2960"/>
            <w:shd w:fill="E7F1EA" w:val="clear"/>
            <w:tcMar>
              <w:top w:type="dxa" w:w="80"/>
              <w:left w:type="dxa" w:w="120"/>
              <w:bottom w:type="dxa" w:w="80"/>
              <w:right w:type="dxa" w:w="120"/>
            </w:tcMar>
          </w:tcPr>
          <w:p>
            <w:pPr>
              <w:spacing w:after="0"/>
            </w:pPr>
            <w:r>
              <w:rPr>
                <w:b/>
                <w:bCs/>
                <w:sz w:val="20"/>
                <w:szCs w:val="20"/>
              </w:rPr>
              <w:t xml:space="preserve">What a tap on a course gives the player</w:t>
            </w:r>
          </w:p>
        </w:tc>
        <w:tc>
          <w:tcPr>
            <w:tcW w:type="dxa" w:w="2900"/>
            <w:shd w:fill="E7F1EA" w:val="clear"/>
            <w:tcMar>
              <w:top w:type="dxa" w:w="80"/>
              <w:left w:type="dxa" w:w="120"/>
              <w:bottom w:type="dxa" w:w="80"/>
              <w:right w:type="dxa" w:w="120"/>
            </w:tcMar>
          </w:tcPr>
          <w:p>
            <w:pPr>
              <w:spacing w:after="0"/>
            </w:pPr>
            <w:r>
              <w:rPr>
                <w:b/>
                <w:bCs/>
                <w:sz w:val="20"/>
                <w:szCs w:val="20"/>
              </w:rPr>
              <w:t xml:space="preserve">Competitor position</w:t>
            </w:r>
          </w:p>
        </w:tc>
      </w:tr>
      <w:tr>
        <w:tc>
          <w:tcPr>
            <w:tcW w:type="dxa" w:w="1150"/>
            <w:tcMar>
              <w:top w:type="dxa" w:w="80"/>
              <w:left w:type="dxa" w:w="120"/>
              <w:bottom w:type="dxa" w:w="80"/>
              <w:right w:type="dxa" w:w="120"/>
            </w:tcMar>
          </w:tcPr>
          <w:p>
            <w:pPr>
              <w:spacing w:after="0"/>
            </w:pPr>
            <w:r>
              <w:rPr>
                <w:b w:val="false"/>
                <w:bCs w:val="false"/>
                <w:sz w:val="20"/>
                <w:szCs w:val="20"/>
              </w:rPr>
              <w:t xml:space="preserve">1 — Win today</w:t>
            </w:r>
          </w:p>
        </w:tc>
        <w:tc>
          <w:tcPr>
            <w:tcW w:type="dxa" w:w="2350"/>
            <w:tcMar>
              <w:top w:type="dxa" w:w="80"/>
              <w:left w:type="dxa" w:w="120"/>
              <w:bottom w:type="dxa" w:w="80"/>
              <w:right w:type="dxa" w:w="120"/>
            </w:tcMar>
          </w:tcPr>
          <w:p>
            <w:pPr>
              <w:spacing w:after="0"/>
            </w:pPr>
            <w:r>
              <w:rPr>
                <w:b w:val="false"/>
                <w:bCs w:val="false"/>
                <w:sz w:val="20"/>
                <w:szCs w:val="20"/>
              </w:rPr>
              <w:t xml:space="preserve">New Zealand, Queensland AU, France, Spain, Netherlands, US</w:t>
            </w:r>
          </w:p>
        </w:tc>
        <w:tc>
          <w:tcPr>
            <w:tcW w:type="dxa" w:w="2960"/>
            <w:tcMar>
              <w:top w:type="dxa" w:w="80"/>
              <w:left w:type="dxa" w:w="120"/>
              <w:bottom w:type="dxa" w:w="80"/>
              <w:right w:type="dxa" w:w="120"/>
            </w:tcMar>
          </w:tcPr>
          <w:p>
            <w:pPr>
              <w:spacing w:after="0"/>
            </w:pPr>
            <w:r>
              <w:rPr>
                <w:b w:val="false"/>
                <w:bCs w:val="false"/>
                <w:sz w:val="20"/>
                <w:szCs w:val="20"/>
              </w:rPr>
              <w:t xml:space="preserve">Full auto-mapped geometry plus baked HD imagery frames from licensed national programmes</w:t>
            </w:r>
          </w:p>
        </w:tc>
        <w:tc>
          <w:tcPr>
            <w:tcW w:type="dxa" w:w="2900"/>
            <w:tcMar>
              <w:top w:type="dxa" w:w="80"/>
              <w:left w:type="dxa" w:w="120"/>
              <w:bottom w:type="dxa" w:w="80"/>
              <w:right w:type="dxa" w:w="120"/>
            </w:tcMar>
          </w:tcPr>
          <w:p>
            <w:pPr>
              <w:spacing w:after="0"/>
            </w:pPr>
            <w:r>
              <w:rPr>
                <w:b w:val="false"/>
                <w:bCs w:val="false"/>
                <w:sz w:val="20"/>
                <w:szCs w:val="20"/>
              </w:rPr>
              <w:t xml:space="preserve">Names and yardages everywhere; hole lines, green shapes and fresh imagery thin outside marquee clubs</w:t>
            </w:r>
          </w:p>
        </w:tc>
      </w:tr>
      <w:tr>
        <w:tc>
          <w:tcPr>
            <w:tcW w:type="dxa" w:w="1150"/>
            <w:tcMar>
              <w:top w:type="dxa" w:w="80"/>
              <w:left w:type="dxa" w:w="120"/>
              <w:bottom w:type="dxa" w:w="80"/>
              <w:right w:type="dxa" w:w="120"/>
            </w:tcMar>
          </w:tcPr>
          <w:p>
            <w:pPr>
              <w:spacing w:after="0"/>
            </w:pPr>
            <w:r>
              <w:rPr>
                <w:b w:val="false"/>
                <w:bCs w:val="false"/>
                <w:sz w:val="20"/>
                <w:szCs w:val="20"/>
              </w:rPr>
              <w:t xml:space="preserve">2 — Instant geometry</w:t>
            </w:r>
          </w:p>
        </w:tc>
        <w:tc>
          <w:tcPr>
            <w:tcW w:type="dxa" w:w="2350"/>
            <w:tcMar>
              <w:top w:type="dxa" w:w="80"/>
              <w:left w:type="dxa" w:w="120"/>
              <w:bottom w:type="dxa" w:w="80"/>
              <w:right w:type="dxa" w:w="120"/>
            </w:tcMar>
          </w:tcPr>
          <w:p>
            <w:pPr>
              <w:spacing w:after="0"/>
            </w:pPr>
            <w:r>
              <w:rPr>
                <w:b w:val="false"/>
                <w:bCs w:val="false"/>
                <w:sz w:val="20"/>
                <w:szCs w:val="20"/>
              </w:rPr>
              <w:t xml:space="preserve">Germany, Austria, Switzerland, Scandinavia, UK &amp; Ireland, rest of AU</w:t>
            </w:r>
          </w:p>
        </w:tc>
        <w:tc>
          <w:tcPr>
            <w:tcW w:type="dxa" w:w="2960"/>
            <w:tcMar>
              <w:top w:type="dxa" w:w="80"/>
              <w:left w:type="dxa" w:w="120"/>
              <w:bottom w:type="dxa" w:w="80"/>
              <w:right w:type="dxa" w:w="120"/>
            </w:tcMar>
          </w:tcPr>
          <w:p>
            <w:pPr>
              <w:spacing w:after="0"/>
            </w:pPr>
            <w:r>
              <w:rPr>
                <w:b w:val="false"/>
                <w:bCs w:val="false"/>
                <w:sz w:val="20"/>
                <w:szCs w:val="20"/>
              </w:rPr>
              <w:t xml:space="preserve">Real hole lines and green polygons on tap (world-class OSM mapping); Esri World Imagery live view; no frames yet</w:t>
            </w:r>
          </w:p>
        </w:tc>
        <w:tc>
          <w:tcPr>
            <w:tcW w:type="dxa" w:w="2900"/>
            <w:tcMar>
              <w:top w:type="dxa" w:w="80"/>
              <w:left w:type="dxa" w:w="120"/>
              <w:bottom w:type="dxa" w:w="80"/>
              <w:right w:type="dxa" w:w="120"/>
            </w:tcMar>
          </w:tcPr>
          <w:p>
            <w:pPr>
              <w:spacing w:after="0"/>
            </w:pPr>
            <w:r>
              <w:rPr>
                <w:b w:val="false"/>
                <w:bCs w:val="false"/>
                <w:sz w:val="20"/>
                <w:szCs w:val="20"/>
              </w:rPr>
              <w:t xml:space="preserve">Reasonable name coverage; depth thin at smaller clubs; UK/IE the incumbents' home turf</w:t>
            </w:r>
          </w:p>
        </w:tc>
      </w:tr>
      <w:tr>
        <w:tc>
          <w:tcPr>
            <w:tcW w:type="dxa" w:w="1150"/>
            <w:tcMar>
              <w:top w:type="dxa" w:w="80"/>
              <w:left w:type="dxa" w:w="120"/>
              <w:bottom w:type="dxa" w:w="80"/>
              <w:right w:type="dxa" w:w="120"/>
            </w:tcMar>
          </w:tcPr>
          <w:p>
            <w:pPr>
              <w:spacing w:after="0"/>
            </w:pPr>
            <w:r>
              <w:rPr>
                <w:b w:val="false"/>
                <w:bCs w:val="false"/>
                <w:sz w:val="20"/>
                <w:szCs w:val="20"/>
              </w:rPr>
              <w:t xml:space="preserve">3 — Sleeper</w:t>
            </w:r>
          </w:p>
        </w:tc>
        <w:tc>
          <w:tcPr>
            <w:tcW w:type="dxa" w:w="2350"/>
            <w:tcMar>
              <w:top w:type="dxa" w:w="80"/>
              <w:left w:type="dxa" w:w="120"/>
              <w:bottom w:type="dxa" w:w="80"/>
              <w:right w:type="dxa" w:w="120"/>
            </w:tcMar>
          </w:tcPr>
          <w:p>
            <w:pPr>
              <w:spacing w:after="0"/>
            </w:pPr>
            <w:r>
              <w:rPr>
                <w:b w:val="false"/>
                <w:bCs w:val="false"/>
                <w:sz w:val="20"/>
                <w:szCs w:val="20"/>
              </w:rPr>
              <w:t xml:space="preserve">Japan</w:t>
            </w:r>
          </w:p>
        </w:tc>
        <w:tc>
          <w:tcPr>
            <w:tcW w:type="dxa" w:w="2960"/>
            <w:tcMar>
              <w:top w:type="dxa" w:w="80"/>
              <w:left w:type="dxa" w:w="120"/>
              <w:bottom w:type="dxa" w:w="80"/>
              <w:right w:type="dxa" w:w="120"/>
            </w:tcMar>
          </w:tcPr>
          <w:p>
            <w:pPr>
              <w:spacing w:after="0"/>
            </w:pPr>
            <w:r>
              <w:rPr>
                <w:b w:val="false"/>
                <w:bCs w:val="false"/>
                <w:sz w:val="20"/>
                <w:szCs w:val="20"/>
              </w:rPr>
              <w:t xml:space="preserve">Open GSI national imagery and elevation already drafted into the scan registry; OSM hole lines rare, so mapping effort is needed</w:t>
            </w:r>
          </w:p>
        </w:tc>
        <w:tc>
          <w:tcPr>
            <w:tcW w:type="dxa" w:w="2900"/>
            <w:tcMar>
              <w:top w:type="dxa" w:w="80"/>
              <w:left w:type="dxa" w:w="120"/>
              <w:bottom w:type="dxa" w:w="80"/>
              <w:right w:type="dxa" w:w="120"/>
            </w:tcMar>
          </w:tcPr>
          <w:p>
            <w:pPr>
              <w:spacing w:after="0"/>
            </w:pPr>
            <w:r>
              <w:rPr>
                <w:b w:val="false"/>
                <w:bCs w:val="false"/>
                <w:sz w:val="20"/>
                <w:szCs w:val="20"/>
              </w:rPr>
              <w:t xml:space="preserve">Western apps famously weak; strong domestic incumbents</w:t>
            </w:r>
          </w:p>
        </w:tc>
      </w:tr>
      <w:tr>
        <w:tc>
          <w:tcPr>
            <w:tcW w:type="dxa" w:w="1150"/>
            <w:tcMar>
              <w:top w:type="dxa" w:w="80"/>
              <w:left w:type="dxa" w:w="120"/>
              <w:bottom w:type="dxa" w:w="80"/>
              <w:right w:type="dxa" w:w="120"/>
            </w:tcMar>
          </w:tcPr>
          <w:p>
            <w:pPr>
              <w:spacing w:after="0"/>
            </w:pPr>
            <w:r>
              <w:rPr>
                <w:b w:val="false"/>
                <w:bCs w:val="false"/>
                <w:sz w:val="20"/>
                <w:szCs w:val="20"/>
              </w:rPr>
              <w:t xml:space="preserve">4 — Not now</w:t>
            </w:r>
          </w:p>
        </w:tc>
        <w:tc>
          <w:tcPr>
            <w:tcW w:type="dxa" w:w="2350"/>
            <w:tcMar>
              <w:top w:type="dxa" w:w="80"/>
              <w:left w:type="dxa" w:w="120"/>
              <w:bottom w:type="dxa" w:w="80"/>
              <w:right w:type="dxa" w:w="120"/>
            </w:tcMar>
          </w:tcPr>
          <w:p>
            <w:pPr>
              <w:spacing w:after="0"/>
            </w:pPr>
            <w:r>
              <w:rPr>
                <w:b w:val="false"/>
                <w:bCs w:val="false"/>
                <w:sz w:val="20"/>
                <w:szCs w:val="20"/>
              </w:rPr>
              <w:t xml:space="preserve">Korea, China, India, SE Asia, LatAm, Africa (ex-ZA)</w:t>
            </w:r>
          </w:p>
        </w:tc>
        <w:tc>
          <w:tcPr>
            <w:tcW w:type="dxa" w:w="2960"/>
            <w:tcMar>
              <w:top w:type="dxa" w:w="80"/>
              <w:left w:type="dxa" w:w="120"/>
              <w:bottom w:type="dxa" w:w="80"/>
              <w:right w:type="dxa" w:w="120"/>
            </w:tcMar>
          </w:tcPr>
          <w:p>
            <w:pPr>
              <w:spacing w:after="0"/>
            </w:pPr>
            <w:r>
              <w:rPr>
                <w:b w:val="false"/>
                <w:bCs w:val="false"/>
                <w:sz w:val="20"/>
                <w:szCs w:val="20"/>
              </w:rPr>
              <w:t xml:space="preserve">Self-mapping tool over Esri live imagery; no automap payoff (OSM thin)</w:t>
            </w:r>
          </w:p>
        </w:tc>
        <w:tc>
          <w:tcPr>
            <w:tcW w:type="dxa" w:w="2900"/>
            <w:tcMar>
              <w:top w:type="dxa" w:w="80"/>
              <w:left w:type="dxa" w:w="120"/>
              <w:bottom w:type="dxa" w:w="80"/>
              <w:right w:type="dxa" w:w="120"/>
            </w:tcMar>
          </w:tcPr>
          <w:p>
            <w:pPr>
              <w:spacing w:after="0"/>
            </w:pPr>
            <w:r>
              <w:rPr>
                <w:b w:val="false"/>
                <w:bCs w:val="false"/>
                <w:sz w:val="20"/>
                <w:szCs w:val="20"/>
              </w:rPr>
              <w:t xml:space="preserve">Real gaps, but local apps dominate (KR) or legal barriers apply (CN)</w:t>
            </w:r>
          </w:p>
        </w:tc>
      </w:tr>
    </w:tbl>
    <w:p>
      <w:pPr>
        <w:spacing w:after="160" w:line="276"/>
      </w:pPr>
      <w:r>
        <w:t xml:space="preserve"/>
      </w:r>
    </w:p>
    <w:p>
      <w:pPr>
        <w:pStyle w:val="Heading1"/>
        <w:spacing w:after="160" w:before="360"/>
      </w:pPr>
      <w:r>
        <w:rPr>
          <w:color w:val="1F6F43"/>
        </w:rPr>
        <w:t xml:space="preserve">Tier 1 — regions we win outright today</w:t>
      </w:r>
    </w:p>
    <w:p>
      <w:pPr>
        <w:pStyle w:val="Heading2"/>
        <w:spacing w:after="120" w:before="280"/>
      </w:pPr>
      <w:r>
        <w:rPr>
          <w:color w:val="2E2E2E"/>
        </w:rPr>
        <w:t xml:space="preserve">New Zealand — the stronghold</w:t>
      </w:r>
    </w:p>
    <w:p>
      <w:pPr>
        <w:spacing w:after="160" w:line="276"/>
      </w:pPr>
      <w:r>
        <w:t xml:space="preserve">Roughly 390 courses, of which the incumbents treat perhaps a quarter with any care. The rest — rural nine-holers in Northland, Otago, the West Coast — are dots with yardages in Golfshot and Hole19. For Clarity Caddy they are full HD-framed courses: LINZ aerial at the best quality in the pipeline, strong local OSM mapping, and home-market identity. This is the flagship proof of the whole thesis and the natural beachhead market. Marketing angle: the only app that treats every New Zealand course like a championship venue.</w:t>
      </w:r>
    </w:p>
    <w:p>
      <w:pPr>
        <w:pStyle w:val="Heading2"/>
        <w:spacing w:after="120" w:before="280"/>
      </w:pPr>
      <w:r>
        <w:rPr>
          <w:color w:val="2E2E2E"/>
        </w:rPr>
        <w:t xml:space="preserve">France, Spain and the Netherlands — the new front</w:t>
      </w:r>
    </w:p>
    <w:p>
      <w:pPr>
        <w:spacing w:after="160" w:line="276"/>
      </w:pPr>
      <w:r>
        <w:t xml:space="preserve">All three now have both live aerial layers and baked frames from their national programmes (IGN BD ORTHO at 20 cm, PNOA at 25 cm, PDOK at 8 cm — the sharpest imagery in the pipeline anywhere). Spain matters most commercially: destination golf with heavy travelling-golfer traffic, around four hundred courses, and incumbents whose depth collapses outside the marquee resorts. France's first scanned course (Golf de La Boulie, August 2026) validated the pipeline end to end. Marketing angle for travelling golfers: your holiday course, in HD, before you land.</w:t>
      </w:r>
    </w:p>
    <w:p>
      <w:pPr>
        <w:pStyle w:val="Heading2"/>
        <w:spacing w:after="120" w:before="280"/>
      </w:pPr>
      <w:r>
        <w:rPr>
          <w:color w:val="2E2E2E"/>
        </w:rPr>
        <w:t xml:space="preserve">Queensland and the United States</w:t>
      </w:r>
    </w:p>
    <w:p>
      <w:pPr>
        <w:spacing w:after="160" w:line="276"/>
      </w:pPr>
      <w:r>
        <w:t xml:space="preserve">Queensland's state imagery programme covers outback and regional clubs the incumbents ignore; the US is competitive territory where NAIP frames match rather than beat the incumbents' home advantage — treat it as parity, not a lead story.</w:t>
      </w:r>
    </w:p>
    <w:p>
      <w:pPr>
        <w:pStyle w:val="Heading1"/>
        <w:spacing w:after="160" w:before="360"/>
      </w:pPr>
      <w:r>
        <w:rPr>
          <w:color w:val="1F6F43"/>
        </w:rPr>
        <w:t xml:space="preserve">Tier 2 — instant real geometry, frames later</w:t>
      </w:r>
    </w:p>
    <w:p>
      <w:pPr>
        <w:spacing w:after="160" w:line="276"/>
      </w:pPr>
      <w:r>
        <w:t xml:space="preserve">Germany, Austria, Switzerland and Scandinavia have the best OpenStreetMap golf mapping in the world: community mappers have drawn hole lines and green polygons at a very large share of clubs. A tap gives real geometry immediately — better than the incumbent experience at smaller DACH and Nordic clubs — over live Esri imagery. No open national imagery is wired yet, but Denmark's national orthophotos are open data and several German Länder (NRW among them) publish open imagery, so frames for parts of this tier are a registry entry away, not an engineering project. The UK and Ireland share the excellent OSM coverage but are the incumbents' best-served markets; the differentiation story there is weaker and should not lead.</w:t>
      </w:r>
    </w:p>
    <w:p>
      <w:pPr>
        <w:pStyle w:val="Heading1"/>
        <w:spacing w:after="160" w:before="360"/>
      </w:pPr>
      <w:r>
        <w:rPr>
          <w:color w:val="1F6F43"/>
        </w:rPr>
        <w:t xml:space="preserve">Tier 3 — Japan, the sleeper</w:t>
      </w:r>
    </w:p>
    <w:p>
      <w:pPr>
        <w:spacing w:after="160" w:line="276"/>
      </w:pPr>
      <w:r>
        <w:t xml:space="preserve">Around two thousand courses, a very large market, and Western apps are famously weak there — but domestic apps are strong. The scan registry already contains drafted entries for GSI's open national imagery (seamless ortho to z18) and its 10 m national elevation model, both keyless. The blocker is geometry: Japanese OSM outlines courses but rarely carries hole lines, so Japan is a frames-plus-mapping-effort play rather than a tap-and-go one. Worth a deliberate pilot (map twenty destination courses by hand, bake frames, measure pull) before any broader commitment.</w:t>
      </w:r>
    </w:p>
    <w:p>
      <w:pPr>
        <w:pStyle w:val="Heading1"/>
        <w:spacing w:after="160" w:before="360"/>
      </w:pPr>
      <w:r>
        <w:rPr>
          <w:color w:val="1F6F43"/>
        </w:rPr>
        <w:t xml:space="preserve">Where not to spend</w:t>
      </w:r>
    </w:p>
    <w:p>
      <w:pPr>
        <w:spacing w:after="160" w:line="276"/>
      </w:pPr>
      <w:r>
        <w:t xml:space="preserve">Korea and China have dominant local ecosystems, and China adds legal surveying and datum restrictions — avoid both. India, Southeast Asia, Latin America and Africa outside South Africa have real competitor gaps, but OSM is equally thin there, so the automapper has nothing to read; the offer in those regions is the self-mapping tool over Esri live imagery. That is a genuine capability — any course on earth becomes playable if one member of a club maps it once — but it is a community-building story, not a coverage-marketing story, and it should be framed that way.</w:t>
      </w:r>
    </w:p>
    <w:p>
      <w:pPr>
        <w:pStyle w:val="Heading1"/>
        <w:spacing w:after="160" w:before="360"/>
      </w:pPr>
      <w:r>
        <w:rPr>
          <w:color w:val="1F6F43"/>
        </w:rPr>
        <w:t xml:space="preserve">Campaign-ready claims</w:t>
      </w:r>
    </w:p>
    <w:p>
      <w:pPr>
        <w:spacing w:after="160" w:line="276"/>
      </w:pPr>
      <w:r>
        <w:rPr>
          <w:i/>
          <w:iCs/>
          <w:color w:val="595959"/>
          <w:sz w:val="20"/>
          <w:szCs w:val="20"/>
        </w:rPr>
        <w:t xml:space="preserve">Claims below are supportable by the pipeline as deployed today. Each should be re-verified against the course library before publication.</w:t>
      </w:r>
    </w:p>
    <w:p>
      <w:pPr>
        <w:pStyle w:val="ListParagraph"/>
        <w:numPr>
          <w:ilvl w:val="0"/>
          <w:numId w:val="2"/>
        </w:numPr>
        <w:spacing w:after="100"/>
      </w:pPr>
      <w:r>
        <w:rPr>
          <w:b/>
          <w:bCs/>
        </w:rPr>
        <w:t xml:space="preserve">“Every course in New Zealand, France and Spain — in HD.”</w:t>
      </w:r>
      <w:r>
        <w:t xml:space="preserve"> The flagship claim; no incumbent equivalent exists.</w:t>
      </w:r>
    </w:p>
    <w:p>
      <w:pPr>
        <w:pStyle w:val="ListParagraph"/>
        <w:numPr>
          <w:ilvl w:val="0"/>
          <w:numId w:val="2"/>
        </w:numPr>
        <w:spacing w:after="100"/>
      </w:pPr>
      <w:r>
        <w:rPr>
          <w:b/>
          <w:bCs/>
        </w:rPr>
        <w:t xml:space="preserve">“Your local nine-holer, mapped like a major.”</w:t>
      </w:r>
      <w:r>
        <w:t xml:space="preserve"> NZ and regional Australia; targets the underserved-club emotion the incumbents ignore.</w:t>
      </w:r>
    </w:p>
    <w:p>
      <w:pPr>
        <w:pStyle w:val="ListParagraph"/>
        <w:numPr>
          <w:ilvl w:val="0"/>
          <w:numId w:val="2"/>
        </w:numPr>
        <w:spacing w:after="100"/>
      </w:pPr>
      <w:r>
        <w:rPr>
          <w:b/>
          <w:bCs/>
        </w:rPr>
        <w:t xml:space="preserve">“Tap any course. If it exists in OpenStreetMap, it plays.”</w:t>
      </w:r>
      <w:r>
        <w:t xml:space="preserve"> Continental Europe; honest about the mechanism and community-friendly.</w:t>
      </w:r>
    </w:p>
    <w:p>
      <w:pPr>
        <w:pStyle w:val="ListParagraph"/>
        <w:numPr>
          <w:ilvl w:val="0"/>
          <w:numId w:val="2"/>
        </w:numPr>
        <w:spacing w:after="160"/>
      </w:pPr>
      <w:r>
        <w:rPr>
          <w:b/>
          <w:bCs/>
        </w:rPr>
        <w:t xml:space="preserve">“No course on earth shows a blank map.”</w:t>
      </w:r>
      <w:r>
        <w:t xml:space="preserve"> Global; made literally true by the Esri layer and the blank-layer fallback shipped August 2026.</w:t>
      </w:r>
    </w:p>
    <w:p>
      <w:pPr>
        <w:pStyle w:val="Heading1"/>
        <w:spacing w:after="160" w:before="360"/>
      </w:pPr>
      <w:r>
        <w:rPr>
          <w:color w:val="1F6F43"/>
        </w:rPr>
        <w:t xml:space="preserve">Dependencies and caveats</w:t>
      </w:r>
    </w:p>
    <w:p>
      <w:pPr>
        <w:spacing w:after="160" w:line="276"/>
      </w:pPr>
      <w:r>
        <w:t xml:space="preserve">Three standing items travel with every claim above. First, geometry sourced from OpenStreetMap carries ODbL obligations — attribution everywhere it is shown, and a share-alike decision on the derived geometry layer that should be settled before coverage claims are advertised loudly. Second, the Esri layer runs on an API key that expires (maximum one-year term) — its renewal date needs a calendar owner, because expiry silently degrades Tier 2 regions to the drawn map. Third, all live-display imagery (Esri, Queensland) is licensed for display only; the HD-frames claims apply strictly to the six licensed scan regions, and marketing copy should never blur that line.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2026-08-18T22:13:27.997Z</dcterms:created>
  <dcterms:modified xsi:type="dcterms:W3CDTF">2026-08-18T22:13:28.009Z</dcterms:modified>
</cp:coreProperties>
</file>

<file path=docProps/custom.xml><?xml version="1.0" encoding="utf-8"?>
<Properties xmlns="http://schemas.openxmlformats.org/officeDocument/2006/custom-properties" xmlns:vt="http://schemas.openxmlformats.org/officeDocument/2006/docPropsVTypes"/>
</file>