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D6D" w:rsidRDefault="00804F78" w:rsidP="00804F78">
      <w:pPr>
        <w:pStyle w:val="Titre"/>
        <w:jc w:val="center"/>
      </w:pPr>
      <w:r>
        <w:t>Résumé BCE</w:t>
      </w:r>
    </w:p>
    <w:p w:rsidR="00804F78" w:rsidRPr="00370997" w:rsidRDefault="00804F78" w:rsidP="00804F78">
      <w:pPr>
        <w:rPr>
          <w:b/>
        </w:rPr>
      </w:pPr>
    </w:p>
    <w:p w:rsidR="00804F78" w:rsidRPr="00370997" w:rsidRDefault="00804F78" w:rsidP="00370997">
      <w:pPr>
        <w:pStyle w:val="Paragraphedeliste"/>
        <w:numPr>
          <w:ilvl w:val="0"/>
          <w:numId w:val="1"/>
        </w:numPr>
        <w:jc w:val="both"/>
        <w:rPr>
          <w:b/>
        </w:rPr>
      </w:pPr>
      <w:r w:rsidRPr="00370997">
        <w:rPr>
          <w:b/>
        </w:rPr>
        <w:t>Retour sur les décisions</w:t>
      </w:r>
    </w:p>
    <w:p w:rsidR="00804F78" w:rsidRDefault="00804F78" w:rsidP="00370997">
      <w:pPr>
        <w:pStyle w:val="Sansinterligne"/>
        <w:jc w:val="both"/>
      </w:pPr>
      <w:r>
        <w:t>Compte tenu des décisions politiques monétaires, la banque centrale européenne a conclu que l’inflation devrait rester forte encore un moment. Ainsi, les gouverneurs ont décidé d’augmenter les trois taux directeurs de la BCE de 50 points de base.  Par rapport à ce qui était prévu, le retour à un taux (2%) n’est clairement pas respecté.</w:t>
      </w:r>
    </w:p>
    <w:p w:rsidR="00370997" w:rsidRDefault="00370997" w:rsidP="00370997">
      <w:pPr>
        <w:pStyle w:val="Sansinterligne"/>
        <w:jc w:val="both"/>
      </w:pPr>
    </w:p>
    <w:p w:rsidR="00804F78" w:rsidRDefault="00370997" w:rsidP="00370997">
      <w:pPr>
        <w:pStyle w:val="Sansinterligne"/>
        <w:jc w:val="both"/>
      </w:pPr>
      <w:r>
        <w:t xml:space="preserve">Les taux d’intérêts sont respectivement : </w:t>
      </w:r>
    </w:p>
    <w:p w:rsidR="00370997" w:rsidRDefault="00370997" w:rsidP="00370997">
      <w:pPr>
        <w:pStyle w:val="Sansinterligne"/>
        <w:numPr>
          <w:ilvl w:val="0"/>
          <w:numId w:val="2"/>
        </w:numPr>
        <w:jc w:val="both"/>
      </w:pPr>
      <w:r>
        <w:t>Les taux d’intérêts des opérations principales de refinancement (3.50%)</w:t>
      </w:r>
    </w:p>
    <w:p w:rsidR="00370997" w:rsidRDefault="00370997" w:rsidP="00370997">
      <w:pPr>
        <w:pStyle w:val="Sansinterligne"/>
        <w:numPr>
          <w:ilvl w:val="0"/>
          <w:numId w:val="2"/>
        </w:numPr>
        <w:jc w:val="both"/>
      </w:pPr>
      <w:r>
        <w:t>Les taux d’intérêts de la facilité de prêt marginal (3.75%)</w:t>
      </w:r>
    </w:p>
    <w:p w:rsidR="00370997" w:rsidRDefault="00370997" w:rsidP="00370997">
      <w:pPr>
        <w:pStyle w:val="Sansinterligne"/>
        <w:numPr>
          <w:ilvl w:val="0"/>
          <w:numId w:val="2"/>
        </w:numPr>
        <w:jc w:val="both"/>
      </w:pPr>
      <w:r>
        <w:t>Les taux d’intérêts de la facilité de dépôt (3%)</w:t>
      </w:r>
    </w:p>
    <w:p w:rsidR="00370997" w:rsidRDefault="00370997" w:rsidP="00370997">
      <w:pPr>
        <w:pStyle w:val="Sansinterligne"/>
        <w:jc w:val="both"/>
      </w:pPr>
    </w:p>
    <w:p w:rsidR="00804F78" w:rsidRPr="00370997" w:rsidRDefault="00804F78" w:rsidP="00370997">
      <w:pPr>
        <w:pStyle w:val="Sansinterligne"/>
        <w:numPr>
          <w:ilvl w:val="0"/>
          <w:numId w:val="1"/>
        </w:numPr>
        <w:jc w:val="both"/>
        <w:rPr>
          <w:b/>
        </w:rPr>
      </w:pPr>
      <w:r w:rsidRPr="00370997">
        <w:rPr>
          <w:b/>
        </w:rPr>
        <w:t>Conséquences sur l’économie</w:t>
      </w:r>
    </w:p>
    <w:p w:rsidR="00804F78" w:rsidRDefault="00804F78" w:rsidP="00370997">
      <w:pPr>
        <w:pStyle w:val="Sansinterligne"/>
        <w:jc w:val="both"/>
      </w:pPr>
    </w:p>
    <w:p w:rsidR="00804F78" w:rsidRDefault="00804F78" w:rsidP="00370997">
      <w:pPr>
        <w:pStyle w:val="Sansinterligne"/>
        <w:jc w:val="both"/>
      </w:pPr>
      <w:r>
        <w:t xml:space="preserve">Ceci peut avoir un impact significatif vis-à-vis de l’économie car une augmentation de 50 points peut entrainer une hausse des taux d’intérêts pour les prêts bancaires. Ainsi, les entreprises et les ménages pourront être en difficulté d’emprunter. De plus, cela peut entrainer une augmentation des rendements obligataires et une diminution des prix des obligations sur le marché obligataires. Enfin, cela peut avoir des conséquences sur le taux de change, car cela peut rendre notre monnaie plus attractive vis-à-vis d’investisseurs étrangers. </w:t>
      </w:r>
    </w:p>
    <w:p w:rsidR="00804F78" w:rsidRDefault="00804F78" w:rsidP="00370997">
      <w:pPr>
        <w:pStyle w:val="Sansinterligne"/>
        <w:jc w:val="both"/>
      </w:pPr>
    </w:p>
    <w:p w:rsidR="00804F78" w:rsidRPr="00370997" w:rsidRDefault="00804F78" w:rsidP="00370997">
      <w:pPr>
        <w:pStyle w:val="Sansinterligne"/>
        <w:numPr>
          <w:ilvl w:val="0"/>
          <w:numId w:val="1"/>
        </w:numPr>
        <w:jc w:val="both"/>
        <w:rPr>
          <w:b/>
        </w:rPr>
      </w:pPr>
      <w:r w:rsidRPr="00370997">
        <w:rPr>
          <w:b/>
        </w:rPr>
        <w:t>Projections macroéconomiques</w:t>
      </w:r>
    </w:p>
    <w:p w:rsidR="00804F78" w:rsidRDefault="00804F78" w:rsidP="00370997">
      <w:pPr>
        <w:pStyle w:val="Sansinterligne"/>
        <w:ind w:left="720"/>
        <w:jc w:val="both"/>
      </w:pPr>
    </w:p>
    <w:p w:rsidR="00804F78" w:rsidRDefault="00804F78" w:rsidP="00370997">
      <w:pPr>
        <w:pStyle w:val="Sansinterligne"/>
        <w:jc w:val="both"/>
      </w:pPr>
      <w:r>
        <w:t xml:space="preserve">Les projections macroéconomiques ont été établies par les services de la banque centrale européenne (début mars). D’après eux, la hausse moyenne des prix devrait s’établir en moyenne à 5.3% en 2023, 2.9% en 2024 et 2.1% en 2025. Enfin, les projections de référence de croissance ont été </w:t>
      </w:r>
      <w:r w:rsidR="00370997">
        <w:t>révisées</w:t>
      </w:r>
      <w:r>
        <w:t xml:space="preserve"> en 2023 à la hausse avec en moyenne 1%</w:t>
      </w: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Default="00804F78" w:rsidP="00804F78">
      <w:pPr>
        <w:pStyle w:val="Sansinterligne"/>
        <w:ind w:left="720"/>
      </w:pPr>
    </w:p>
    <w:p w:rsidR="00804F78" w:rsidRPr="00804F78" w:rsidRDefault="00804F78" w:rsidP="00804F78">
      <w:pPr>
        <w:pStyle w:val="Sansinterligne"/>
        <w:ind w:left="720"/>
      </w:pPr>
    </w:p>
    <w:sectPr w:rsidR="00804F78" w:rsidRPr="00804F78" w:rsidSect="000436EA">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B9E" w:rsidRDefault="00427B9E" w:rsidP="00804F78">
      <w:pPr>
        <w:spacing w:after="0" w:line="240" w:lineRule="auto"/>
      </w:pPr>
      <w:r>
        <w:separator/>
      </w:r>
    </w:p>
  </w:endnote>
  <w:endnote w:type="continuationSeparator" w:id="1">
    <w:p w:rsidR="00427B9E" w:rsidRDefault="00427B9E" w:rsidP="00804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78" w:rsidRDefault="00804F78">
    <w:pPr>
      <w:pStyle w:val="Pieddepage"/>
    </w:pPr>
    <w:r>
      <w:t xml:space="preserve">Source : </w:t>
    </w:r>
    <w:hyperlink r:id="rId1" w:history="1">
      <w:r>
        <w:rPr>
          <w:rStyle w:val="Lienhypertexte"/>
        </w:rPr>
        <w:t>Décisions de politique monétaire (europa.eu)</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B9E" w:rsidRDefault="00427B9E" w:rsidP="00804F78">
      <w:pPr>
        <w:spacing w:after="0" w:line="240" w:lineRule="auto"/>
      </w:pPr>
      <w:r>
        <w:separator/>
      </w:r>
    </w:p>
  </w:footnote>
  <w:footnote w:type="continuationSeparator" w:id="1">
    <w:p w:rsidR="00427B9E" w:rsidRDefault="00427B9E" w:rsidP="00804F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D41"/>
    <w:multiLevelType w:val="hybridMultilevel"/>
    <w:tmpl w:val="E06E72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7EC3234"/>
    <w:multiLevelType w:val="hybridMultilevel"/>
    <w:tmpl w:val="6A84D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804F78"/>
    <w:rsid w:val="000436EA"/>
    <w:rsid w:val="00370997"/>
    <w:rsid w:val="00427B9E"/>
    <w:rsid w:val="005F76B3"/>
    <w:rsid w:val="00804F78"/>
    <w:rsid w:val="00C05A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6EA"/>
  </w:style>
  <w:style w:type="paragraph" w:styleId="Titre1">
    <w:name w:val="heading 1"/>
    <w:basedOn w:val="Normal"/>
    <w:next w:val="Normal"/>
    <w:link w:val="Titre1Car"/>
    <w:uiPriority w:val="9"/>
    <w:qFormat/>
    <w:rsid w:val="0080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04F78"/>
    <w:pPr>
      <w:spacing w:after="0" w:line="240" w:lineRule="auto"/>
    </w:pPr>
  </w:style>
  <w:style w:type="character" w:customStyle="1" w:styleId="Titre1Car">
    <w:name w:val="Titre 1 Car"/>
    <w:basedOn w:val="Policepardfaut"/>
    <w:link w:val="Titre1"/>
    <w:uiPriority w:val="9"/>
    <w:rsid w:val="00804F7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04F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4F78"/>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04F78"/>
    <w:pPr>
      <w:ind w:left="720"/>
      <w:contextualSpacing/>
    </w:pPr>
  </w:style>
  <w:style w:type="character" w:styleId="Lienhypertexte">
    <w:name w:val="Hyperlink"/>
    <w:basedOn w:val="Policepardfaut"/>
    <w:uiPriority w:val="99"/>
    <w:semiHidden/>
    <w:unhideWhenUsed/>
    <w:rsid w:val="00804F78"/>
    <w:rPr>
      <w:color w:val="0000FF"/>
      <w:u w:val="single"/>
    </w:rPr>
  </w:style>
  <w:style w:type="paragraph" w:styleId="En-tte">
    <w:name w:val="header"/>
    <w:basedOn w:val="Normal"/>
    <w:link w:val="En-tteCar"/>
    <w:uiPriority w:val="99"/>
    <w:semiHidden/>
    <w:unhideWhenUsed/>
    <w:rsid w:val="00804F7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04F78"/>
  </w:style>
  <w:style w:type="paragraph" w:styleId="Pieddepage">
    <w:name w:val="footer"/>
    <w:basedOn w:val="Normal"/>
    <w:link w:val="PieddepageCar"/>
    <w:uiPriority w:val="99"/>
    <w:semiHidden/>
    <w:unhideWhenUsed/>
    <w:rsid w:val="00804F7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04F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ecb.europa.eu/press/pr/date/2023/html/ecb.mp230316~aad5249f30.f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239</Words>
  <Characters>1319</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2023-03-19T17:12:00Z</dcterms:created>
  <dcterms:modified xsi:type="dcterms:W3CDTF">2023-03-19T17:27:00Z</dcterms:modified>
</cp:coreProperties>
</file>