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rPr>
          <w:b/>
          <w:bCs/>
        </w:rPr>
        <w:t xml:space="preserve">연도별 포아송 회귀분석 결과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연도별 포아송 회귀분석 결과"/>
      </w:tblPr>
      <w:tblGrid>
        <w:gridCol w:w="1584"/>
        <w:gridCol w:w="1584"/>
        <w:gridCol w:w="1584"/>
        <w:gridCol w:w="1584"/>
        <w:gridCol w:w="1584"/>
      </w:tblGrid>
      <w:tr>
        <w:tc>
          <w:tcPr>
            <w:gridSpan w:val="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</w:pPr>
            <w:r>
              <w:rPr>
                <w:i/>
                <w:iCs/>
              </w:rPr>
              <w:t xml:space="preserve">Dependent variable: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</w:pPr>
            <w:r>
              <w:t xml:space="preserve">총출생아수 (CEB)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1990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afm_cat20-24</w:t>
            </w:r>
          </w:p>
        </w:tc>
        <w:tc>
          <w:tcPr/>
          <w:p>
            <w:pPr>
              <w:pStyle w:val="Compact"/>
            </w:pPr>
            <w:r>
              <w:t xml:space="preserve">-0.170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afm_cat25-29</w:t>
            </w:r>
          </w:p>
        </w:tc>
        <w:tc>
          <w:tcPr/>
          <w:p>
            <w:pPr>
              <w:pStyle w:val="Compact"/>
            </w:pPr>
            <w:r>
              <w:t xml:space="preserve">-0.414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-0.115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-0.175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-0.177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afm_cat30-34</w:t>
            </w:r>
          </w:p>
        </w:tc>
        <w:tc>
          <w:tcPr/>
          <w:p>
            <w:pPr>
              <w:pStyle w:val="Compact"/>
            </w:pPr>
            <w:r>
              <w:t xml:space="preserve">-0.811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-0.366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-0.526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-0.467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afm_cat35-39</w:t>
            </w:r>
          </w:p>
        </w:tc>
        <w:tc>
          <w:tcPr/>
          <w:p>
            <w:pPr>
              <w:pStyle w:val="Compact"/>
            </w:pPr>
            <w:r>
              <w:t xml:space="preserve">-1.079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-0.601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-1.017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-0.953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(0.058)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afm_cat40+</w:t>
            </w:r>
          </w:p>
        </w:tc>
        <w:tc>
          <w:tcPr/>
          <w:p>
            <w:pPr>
              <w:pStyle w:val="Compact"/>
            </w:pPr>
            <w:r>
              <w:t xml:space="preserve">-1.361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-0.698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-2.255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-2.118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(0.150)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  <w:tc>
          <w:tcPr/>
          <w:p>
            <w:pPr>
              <w:pStyle w:val="Compact"/>
            </w:pPr>
            <w:r>
              <w:t xml:space="preserve">(0.078)</w:t>
            </w: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afm_catNone</w:t>
            </w:r>
          </w:p>
        </w:tc>
        <w:tc>
          <w:tcPr/>
          <w:p>
            <w:pPr>
              <w:pStyle w:val="Compact"/>
            </w:pPr>
            <w:r>
              <w:t xml:space="preserve">-19.903</w:t>
            </w:r>
          </w:p>
        </w:tc>
        <w:tc>
          <w:tcPr/>
          <w:p>
            <w:pPr>
              <w:pStyle w:val="Compact"/>
            </w:pPr>
            <w:r>
              <w:t xml:space="preserve">-5.274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-20.237</w:t>
            </w:r>
          </w:p>
        </w:tc>
        <w:tc>
          <w:tcPr/>
          <w:p>
            <w:pPr>
              <w:pStyle w:val="Compact"/>
            </w:pPr>
            <w:r>
              <w:t xml:space="preserve">-20.195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(52.821)</w:t>
            </w: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(50.870)</w:t>
            </w:r>
          </w:p>
        </w:tc>
        <w:tc>
          <w:tcPr/>
          <w:p>
            <w:pPr>
              <w:pStyle w:val="Compact"/>
            </w:pPr>
            <w:r>
              <w:t xml:space="preserve">(49.594)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agegrp20-24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1.424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(0.121)</w:t>
            </w:r>
          </w:p>
        </w:tc>
        <w:tc>
          <w:tcPr/>
          <w:p>
            <w:pPr>
              <w:pStyle w:val="Compact"/>
            </w:pPr>
            <w:r>
              <w:t xml:space="preserve">(0.157)</w:t>
            </w:r>
          </w:p>
        </w:tc>
        <w:tc>
          <w:tcPr/>
          <w:p>
            <w:pPr>
              <w:pStyle w:val="Compact"/>
            </w:pPr>
            <w:r>
              <w:t xml:space="preserve">(0.216)</w:t>
            </w:r>
          </w:p>
        </w:tc>
        <w:tc>
          <w:tcPr/>
          <w:p>
            <w:pPr>
              <w:pStyle w:val="Compact"/>
            </w:pPr>
            <w:r>
              <w:t xml:space="preserve">(0.334)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agegrp25-29</w:t>
            </w:r>
          </w:p>
        </w:tc>
        <w:tc>
          <w:tcPr/>
          <w:p>
            <w:pPr>
              <w:pStyle w:val="Compact"/>
            </w:pPr>
            <w:r>
              <w:t xml:space="preserve">1.589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1.735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0.617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  <w:r>
              <w:rPr>
                <w:vertAlign w:val="superscript"/>
              </w:rPr>
              <w:t xml:space="preserve">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  <w:tc>
          <w:tcPr/>
          <w:p>
            <w:pPr>
              <w:pStyle w:val="Compact"/>
            </w:pPr>
            <w:r>
              <w:t xml:space="preserve">(0.155)</w:t>
            </w:r>
          </w:p>
        </w:tc>
        <w:tc>
          <w:tcPr/>
          <w:p>
            <w:pPr>
              <w:pStyle w:val="Compact"/>
            </w:pPr>
            <w:r>
              <w:t xml:space="preserve">(0.214)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agegrp30-34</w:t>
            </w:r>
          </w:p>
        </w:tc>
        <w:tc>
          <w:tcPr/>
          <w:p>
            <w:pPr>
              <w:pStyle w:val="Compact"/>
            </w:pPr>
            <w:r>
              <w:t xml:space="preserve">1.971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2.139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1.147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1.152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  <w:tc>
          <w:tcPr/>
          <w:p>
            <w:pPr>
              <w:pStyle w:val="Compact"/>
            </w:pPr>
            <w:r>
              <w:t xml:space="preserve">(0.155)</w:t>
            </w:r>
          </w:p>
        </w:tc>
        <w:tc>
          <w:tcPr/>
          <w:p>
            <w:pPr>
              <w:pStyle w:val="Compact"/>
            </w:pPr>
            <w:r>
              <w:t xml:space="preserve">(0.213)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agegrp35-39</w:t>
            </w:r>
          </w:p>
        </w:tc>
        <w:tc>
          <w:tcPr/>
          <w:p>
            <w:pPr>
              <w:pStyle w:val="Compact"/>
            </w:pPr>
            <w:r>
              <w:t xml:space="preserve">2.151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2.352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1.458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1.560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  <w:tc>
          <w:tcPr/>
          <w:p>
            <w:pPr>
              <w:pStyle w:val="Compact"/>
            </w:pPr>
            <w:r>
              <w:t xml:space="preserve">(0.155)</w:t>
            </w:r>
          </w:p>
        </w:tc>
        <w:tc>
          <w:tcPr/>
          <w:p>
            <w:pPr>
              <w:pStyle w:val="Compact"/>
            </w:pPr>
            <w:r>
              <w:t xml:space="preserve">(0.213)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agegrp40-44</w:t>
            </w:r>
          </w:p>
        </w:tc>
        <w:tc>
          <w:tcPr/>
          <w:p>
            <w:pPr>
              <w:pStyle w:val="Compact"/>
            </w:pPr>
            <w:r>
              <w:t xml:space="preserve">2.307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1.499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1.677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  <w:tc>
          <w:tcPr/>
          <w:p>
            <w:pPr>
              <w:pStyle w:val="Compact"/>
            </w:pPr>
            <w:r>
              <w:t xml:space="preserve">(0.155)</w:t>
            </w:r>
          </w:p>
        </w:tc>
        <w:tc>
          <w:tcPr/>
          <w:p>
            <w:pPr>
              <w:pStyle w:val="Compact"/>
            </w:pPr>
            <w:r>
              <w:t xml:space="preserve">(0.213)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agegrp45-49</w:t>
            </w:r>
          </w:p>
        </w:tc>
        <w:tc>
          <w:tcPr/>
          <w:p>
            <w:pPr>
              <w:pStyle w:val="Compact"/>
            </w:pPr>
            <w:r>
              <w:t xml:space="preserve">2.463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2.413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1.509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1.655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  <w:tc>
          <w:tcPr/>
          <w:p>
            <w:pPr>
              <w:pStyle w:val="Compact"/>
            </w:pPr>
            <w:r>
              <w:t xml:space="preserve">(0.155)</w:t>
            </w:r>
          </w:p>
        </w:tc>
        <w:tc>
          <w:tcPr/>
          <w:p>
            <w:pPr>
              <w:pStyle w:val="Compact"/>
            </w:pPr>
            <w:r>
              <w:t xml:space="preserve">(0.213)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educHS</w:t>
            </w:r>
          </w:p>
        </w:tc>
        <w:tc>
          <w:tcPr/>
          <w:p>
            <w:pPr>
              <w:pStyle w:val="Compact"/>
            </w:pPr>
            <w:r>
              <w:t xml:space="preserve">-0.095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educSomeCol</w:t>
            </w:r>
          </w:p>
        </w:tc>
        <w:tc>
          <w:tcPr/>
          <w:p>
            <w:pPr>
              <w:pStyle w:val="Compact"/>
            </w:pPr>
            <w:r>
              <w:t xml:space="preserve">-0.146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educBA+</w:t>
            </w:r>
          </w:p>
        </w:tc>
        <w:tc>
          <w:tcPr/>
          <w:p>
            <w:pPr>
              <w:pStyle w:val="Compact"/>
            </w:pPr>
            <w:r>
              <w:t xml:space="preserve">-0.145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org_region5Rest Capital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  <w:r>
              <w:rPr>
                <w:vertAlign w:val="superscript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org_region5Metros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  <w:r>
              <w:rPr>
                <w:vertAlign w:val="superscript"/>
              </w:rPr>
              <w:t xml:space="preserve">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org_region5Provinces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org_region5Abroad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res_region5Rest Capital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res_region5Metros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res_region5Provinces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-1.162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-1.732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-0.819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-1.054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  <w:tc>
          <w:tcPr/>
          <w:p>
            <w:pPr>
              <w:pStyle w:val="Compact"/>
            </w:pPr>
            <w:r>
              <w:t xml:space="preserve">(0.155)</w:t>
            </w:r>
          </w:p>
        </w:tc>
        <w:tc>
          <w:tcPr/>
          <w:p>
            <w:pPr>
              <w:pStyle w:val="Compact"/>
            </w:pPr>
            <w:r>
              <w:t xml:space="preserve">(0.213)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234,112</w:t>
            </w:r>
          </w:p>
        </w:tc>
        <w:tc>
          <w:tcPr/>
          <w:p>
            <w:pPr>
              <w:pStyle w:val="Compact"/>
            </w:pPr>
            <w:r>
              <w:t xml:space="preserve">236,941</w:t>
            </w:r>
          </w:p>
        </w:tc>
        <w:tc>
          <w:tcPr/>
          <w:p>
            <w:pPr>
              <w:pStyle w:val="Compact"/>
            </w:pPr>
            <w:r>
              <w:t xml:space="preserve">217,653</w:t>
            </w:r>
          </w:p>
        </w:tc>
        <w:tc>
          <w:tcPr/>
          <w:p>
            <w:pPr>
              <w:pStyle w:val="Compact"/>
            </w:pPr>
            <w:r>
              <w:t xml:space="preserve">202,566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Note:</w:t>
            </w:r>
          </w:p>
        </w:tc>
        <w:tc>
          <w:tcPr>
            <w:gridSpan w:val="4"/>
          </w:tcPr>
          <w:p>
            <w:pPr>
              <w:pStyle w:val="Compact"/>
              <w:jc w:val="right"/>
            </w:pPr>
            <w:r>
              <w:rPr>
                <w:vertAlign w:val="superscript"/>
              </w:rPr>
              <w:t xml:space="preserve">*</w:t>
            </w:r>
            <w:r>
              <w:t xml:space="preserve">p&lt;0.1;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  <w:r>
              <w:t xml:space="preserve">p&lt;0.05;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  <w:r>
              <w:t xml:space="preserve">p&lt;0.01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주: 종속변수는 총출생아수(CEB), 가중치는 인구가중치(weight) 적용.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p&lt;0.05; ** p&lt;0.01; *** p&lt;0.001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2025-11-04T13:19:37Z</dcterms:created>
  <dcterms:modified xsi:type="dcterms:W3CDTF">2025-11-04T13:19:37Z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