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Client Report: Report Live Entity</w:t>
      </w:r>
    </w:p>
    <w:p>
      <w:r>
        <w:t xml:space="preserve"/>
      </w:r>
    </w:p>
    <w:p>
      <w:pPr>
        <w:pStyle w:val="Heading2"/>
      </w:pPr>
      <w:r>
        <w:t xml:space="preserve">Executive Summary</w:t>
      </w:r>
    </w:p>
    <w:p>
      <w:r>
        <w:t xml:space="preserve">The current AML readiness review outcome for Report Live Entity is BLOCKED. Seven findings have been identified, each requiring remediation and evidence substantiation before deployment can be considered.</w:t>
      </w:r>
    </w:p>
    <w:p>
      <w:r>
        <w:t xml:space="preserve"/>
      </w:r>
    </w:p>
    <w:p>
      <w:pPr>
        <w:pStyle w:val="Heading2"/>
      </w:pPr>
      <w:r>
        <w:t xml:space="preserve">Key Findings</w:t>
      </w:r>
    </w:p>
    <w:p>
      <w:r>
        <w:t xml:space="preserve">• Transaction monitoring framework documented</w:t>
      </w:r>
    </w:p>
    <w:p>
      <w:r>
        <w:t xml:space="preserve">• Sanctions screening program defined</w:t>
      </w:r>
    </w:p>
    <w:p>
      <w:r>
        <w:t xml:space="preserve">• Enterprise AML policy approved and version controlled</w:t>
      </w:r>
    </w:p>
    <w:p>
      <w:r>
        <w:t xml:space="preserve"/>
      </w:r>
    </w:p>
    <w:p>
      <w:pPr>
        <w:pStyle w:val="Heading2"/>
      </w:pPr>
      <w:r>
        <w:t xml:space="preserve">Missing Controls</w:t>
      </w:r>
    </w:p>
    <w:p>
      <w:r>
        <w:t xml:space="preserve">Critical missing controls include AML-001 (Enterprise AML policy approved and version controlled), AML-002 (Customer risk rating methodology defined), AML-003 (Transaction monitoring framework documented), GOV-001 (Compliance governance roles and escalation paths defined), KYB-001 (Beneficial ownership and business verification controls documented), KYC-001 (Customer identification procedures documented), and SAN-001 (Sanctions screening program defined).</w:t>
      </w:r>
    </w:p>
    <w:p>
      <w:r>
        <w:t xml:space="preserve"/>
      </w:r>
    </w:p>
    <w:p>
      <w:pPr>
        <w:pStyle w:val="Heading2"/>
      </w:pPr>
      <w:r>
        <w:t xml:space="preserve">Remediation Priorities</w:t>
      </w:r>
    </w:p>
    <w:p>
      <w:r>
        <w:t xml:space="preserve">Immediate remediation (0-30 days) must focus on the transaction monitoring framework and sanctions screening program, both critical controls. Near-term efforts (30-90 days) should address the enterprise AML policy, customer risk rating methodology, compliance governance roles, beneficial ownership controls, and customer identification procedures. Remediation progress will require documented evidence and human-reviewed validation before the entity can progress towards deployment readiness.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Tenet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Tenet Export</dc:title>
  <dc:creator>Tenet</dc:creator>
  <cp:lastModifiedBy>Tenet</cp:lastModifiedBy>
  <dcterms:created xsi:type="dcterms:W3CDTF">2026-03-17T14:09:37Z</dcterms:created>
  <dcterms:modified xsi:type="dcterms:W3CDTF">2026-03-17T14:09:37Z</dcterms:modified>
</cp:coreProperties>
</file>