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Regulator Memo</w:t>
      </w:r>
    </w:p>
    <w:p>
      <w:r>
        <w:t xml:space="preserve"/>
      </w:r>
    </w:p>
    <w:p>
      <w:r>
        <w:t xml:space="preserve">Entity: Real UAE Licensing Vendor Readiness</w:t>
      </w:r>
    </w:p>
    <w:p>
      <w:r>
        <w:t xml:space="preserve">Deployment Decision: BLOCKED</w:t>
      </w:r>
    </w:p>
    <w:p>
      <w:r>
        <w:t xml:space="preserve"/>
      </w:r>
    </w:p>
    <w:p>
      <w:pPr>
        <w:pStyle w:val="Heading2"/>
      </w:pPr>
      <w:r>
        <w:t xml:space="preserve">Key Findings</w:t>
      </w:r>
    </w:p>
    <w:p>
      <w:r>
        <w:t xml:space="preserve">• Vendor Due Diligence and Oversight (VEN-001) [HIGH]</w:t>
      </w:r>
    </w:p>
    <w:p>
      <w:r>
        <w:t xml:space="preserve">• Governance Roles and Escalation (GOV-001) [HIGH]</w:t>
      </w:r>
    </w:p>
    <w:p>
      <w:r>
        <w:t xml:space="preserve"/>
      </w:r>
    </w:p>
    <w:p>
      <w:pPr>
        <w:pStyle w:val="Heading2"/>
      </w:pPr>
      <w:r>
        <w:t xml:space="preserve">Missing Controls</w:t>
      </w:r>
    </w:p>
    <w:p>
      <w:r>
        <w:t xml:space="preserve">• GOV-001: Governance Roles and Escalation</w:t>
      </w:r>
    </w:p>
    <w:p>
      <w:r>
        <w:t xml:space="preserve">• VEN-001: Vendor Due Diligence and Oversight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Tenet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Tenet Export</dc:title>
  <dc:creator>Tenet</dc:creator>
  <cp:lastModifiedBy>Tenet</cp:lastModifiedBy>
  <dcterms:created xsi:type="dcterms:W3CDTF">2026-03-17T15:06:29Z</dcterms:created>
  <dcterms:modified xsi:type="dcterms:W3CDTF">2026-03-17T15:06:29Z</dcterms:modified>
</cp:coreProperties>
</file>