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</w:t>
      </w:r>
    </w:p>
    <w:p>
      <w:r>
        <w:t xml:space="preserve"/>
      </w:r>
    </w:p>
    <w:p>
      <w:r>
        <w:t xml:space="preserve">Entity: Maple Ops Platform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BLOCKED</w:t>
      </w:r>
    </w:p>
    <w:p>
      <w:r>
        <w:t xml:space="preserve"/>
      </w:r>
    </w:p>
    <w:p>
      <w:pPr>
        <w:pStyle w:val="Heading2"/>
      </w:pPr>
      <w:r>
        <w:t xml:space="preserve">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Immediate Actions</w:t>
      </w:r>
    </w:p>
    <w:p>
      <w:r>
        <w:t xml:space="preserve">• None stated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VEN-001: Vendor Due Diligence and Oversight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