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Board Memo: Report Live Entity</w:t>
      </w:r>
    </w:p>
    <w:p>
      <w:r>
        <w:t xml:space="preserve"/>
      </w:r>
    </w:p>
    <w:p>
      <w:pPr>
        <w:pStyle w:val="Heading2"/>
      </w:pPr>
      <w:r>
        <w:t xml:space="preserve">Deployment Decision</w:t>
      </w:r>
    </w:p>
    <w:p>
      <w:r>
        <w:t xml:space="preserve">• Status: BLOCKED</w:t>
      </w:r>
    </w:p>
    <w:p>
      <w:r>
        <w:t xml:space="preserve">• Board Position: Deployment is blocked due to missing critical and high-severity controls or insufficient confidence in the entity's AML readiness.</w:t>
      </w:r>
    </w:p>
    <w:p>
      <w:r>
        <w:t xml:space="preserve"/>
      </w:r>
    </w:p>
    <w:p>
      <w:pPr>
        <w:pStyle w:val="Heading2"/>
      </w:pPr>
      <w:r>
        <w:t xml:space="preserve">Top Findings</w:t>
      </w:r>
    </w:p>
    <w:p>
      <w:r>
        <w:t xml:space="preserve">• Transaction monitoring framework documented</w:t>
      </w:r>
    </w:p>
    <w:p>
      <w:r>
        <w:t xml:space="preserve">• Sanctions screening program defined</w:t>
      </w:r>
    </w:p>
    <w:p>
      <w:r>
        <w:t xml:space="preserve">• Enterprise AML policy approved and version controlled</w:t>
      </w:r>
    </w:p>
    <w:p>
      <w:r>
        <w:t xml:space="preserve"/>
      </w:r>
    </w:p>
    <w:p>
      <w:pPr>
        <w:pStyle w:val="Heading2"/>
      </w:pPr>
      <w:r>
        <w:t xml:space="preserve">Governance Actions</w:t>
      </w:r>
    </w:p>
    <w:p>
      <w:r>
        <w:t xml:space="preserve">The Board requires immediate remediation and evidence of controls for the transaction monitoring framework and sanctions screening program, both flagged as critical gaps. High-priority remediation is also needed for the enterprise AML policy, customer risk rating methodology, and beneficial ownership and business verification controls. Oversight should ensure that compliance governance roles and escalation paths are clearly defined and supported by documented evidence. Progress must be regularly reported to the Board to enable reassessment of deployment readiness.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Tenet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Tenet Export</dc:title>
  <dc:creator>Tenet</dc:creator>
  <cp:lastModifiedBy>Tenet</cp:lastModifiedBy>
  <dcterms:created xsi:type="dcterms:W3CDTF">2026-03-17T14:09:37Z</dcterms:created>
  <dcterms:modified xsi:type="dcterms:W3CDTF">2026-03-17T14:09:37Z</dcterms:modified>
</cp:coreProperties>
</file>