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Regulator Memo: Report Live Entity</w:t>
      </w:r>
    </w:p>
    <w:p>
      <w:r>
        <w:t xml:space="preserve"/>
      </w:r>
    </w:p>
    <w:p>
      <w:pPr>
        <w:pStyle w:val="Heading2"/>
      </w:pPr>
      <w:r>
        <w:t xml:space="preserve">Supervisory Decision</w:t>
      </w:r>
    </w:p>
    <w:p>
      <w:r>
        <w:t xml:space="preserve">• Status: BLOCKED</w:t>
      </w:r>
    </w:p>
    <w:p>
      <w:r>
        <w:t xml:space="preserve">• Supervisory Summary: Deployment is blocked due to missing critical and high-severity controls or insufficient confidence in the entity's AML controls evidence.</w:t>
      </w:r>
    </w:p>
    <w:p>
      <w:r>
        <w:t xml:space="preserve"/>
      </w:r>
    </w:p>
    <w:p>
      <w:pPr>
        <w:pStyle w:val="Heading2"/>
      </w:pPr>
      <w:r>
        <w:t xml:space="preserve">Control Gaps</w:t>
      </w:r>
    </w:p>
    <w:p>
      <w:r>
        <w:t xml:space="preserve">The following controls are currently missing or undocumented, posing significant regulatory risks: AML-001 (Enterprise AML policy approved and version controlled), AML-002 (Customer risk rating methodology defined), AML-003 (Transaction monitoring framework documented), GOV-001 (Compliance governance roles and escalation paths defined), KYB-001 (Beneficial ownership and business verification controls documented), KYC-001 (Customer identification procedures documented), and SAN-001 (Sanctions screening program defined).</w:t>
      </w:r>
    </w:p>
    <w:p>
      <w:r>
        <w:t xml:space="preserve"/>
      </w:r>
    </w:p>
    <w:p>
      <w:pPr>
        <w:pStyle w:val="Heading2"/>
      </w:pPr>
      <w:r>
        <w:t xml:space="preserve">Required Follow-Up</w:t>
      </w:r>
    </w:p>
    <w:p>
      <w:r>
        <w:t xml:space="preserve">The entity must provide documented evidence and remediation plans for all missing controls listed above. Immediate priority should be given to critical controls AML-003 and SAN-001, with near-term remediation for the others within 30 to 90 days. Continued supervisory engagement will validate the sufficiency and effectiveness of remediation efforts before any approval for deployment.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2026-03-17T14:09:37Z</dcterms:created>
  <dcterms:modified xsi:type="dcterms:W3CDTF">2026-03-17T14:09:37Z</dcterms:modified>
</cp:coreProperties>
</file>