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15 wp14">
  <w:body>
    <w:p>
      <w:pPr>
        <w:spacing w:before="800"/>
      </w:pPr>
    </w:p>
    <w:p>
      <w:pPr>
        <w:spacing w:after="120"/>
        <w:jc w:val="center"/>
      </w:pPr>
      <w:r>
        <w:rPr>
          <w:b/>
          <w:bCs/>
          <w:color w:val="2563EB"/>
          <w:sz w:val="56"/>
          <w:szCs w:val="56"/>
        </w:rPr>
        <w:t xml:space="preserve">AI RESUME RANKER</w:t>
      </w:r>
    </w:p>
    <w:p>
      <w:pPr>
        <w:spacing w:after="60"/>
        <w:jc w:val="center"/>
      </w:pPr>
      <w:r>
        <w:rPr>
          <w:b/>
          <w:bCs/>
          <w:color w:val="1E293B"/>
          <w:sz w:val="32"/>
          <w:szCs w:val="32"/>
        </w:rPr>
        <w:t xml:space="preserve">Implementation &amp; Results Report</w:t>
      </w:r>
    </w:p>
    <w:p>
      <w:pPr>
        <w:spacing w:after="400"/>
        <w:jc w:val="center"/>
      </w:pPr>
      <w:r>
        <w:rPr>
          <w:i/>
          <w:iCs/>
          <w:color w:val="64748B"/>
          <w:sz w:val="22"/>
          <w:szCs w:val="22"/>
        </w:rPr>
        <w:t xml:space="preserve">Supplementary to the Project Documentation</w:t>
      </w:r>
    </w:p>
    <w:p>
      <w:pPr>
        <w:jc w:val="center"/>
      </w:pPr>
      <w:r>
        <w:rPr>
          <w:color w:val="1E293B"/>
          <w:sz w:val="22"/>
          <w:szCs w:val="22"/>
        </w:rPr>
        <w:t xml:space="preserve">TechWiz 6 — Global AI-Based Tech Competition</w:t>
      </w:r>
    </w:p>
    <w:p>
      <w:pPr>
        <w:spacing w:after="300"/>
        <w:jc w:val="center"/>
      </w:pPr>
      <w:r>
        <w:rPr>
          <w:color w:val="1E293B"/>
          <w:sz w:val="22"/>
          <w:szCs w:val="22"/>
        </w:rPr>
        <w:t xml:space="preserve">AI and Machine Learning Mania</w:t>
      </w:r>
    </w:p>
    <w:p>
      <w:r>
        <w:t>Team Name: AI Resume Ranker Team (Aptech Learning - North Nazimabad)</w:t>
      </w:r>
    </w:p>
    <w:p>
      <w:r>
        <w:t>Team Members: Saba Noor, Muhmmad Sami, Ghanyan, Sami UR Rehman</w:t>
      </w:r>
    </w:p>
    <w:p>
      <w:r>
        <w:t>Submission Date: August 2026</w:t>
      </w:r>
    </w:p>
    <w:p>
      <w:r>
        <w:br w:type="page"/>
      </w:r>
    </w:p>
    <w:p>
      <w:pPr>
        <w:pStyle w:val="Heading1"/>
        <w:spacing w:after="200" w:before="400"/>
      </w:pPr>
      <w:r>
        <w:t>Purpose of this Report</w:t>
      </w:r>
    </w:p>
    <w:p>
      <w:pPr>
        <w:spacing w:after="160"/>
      </w:pPr>
      <w:r>
        <w:t>This report complements the original AI_Resume_Ranker_Project_Documentation.docx. The original document covers the design, requirements, and plan; this report records the implementation, testing, measured results, and current limitations.</w:t>
      </w:r>
    </w:p>
    <w:p>
      <w:pPr>
        <w:spacing w:after="160"/>
      </w:pPr>
      <w:r>
        <w:t xml:space="preserve"/>
      </w:r>
    </w:p>
    <w:p>
      <w:pPr>
        <w:pStyle w:val="Heading1"/>
        <w:spacing w:after="200" w:before="400"/>
      </w:pPr>
      <w:r>
        <w:t xml:space="preserve">1. Executive Summary</w:t>
      </w:r>
    </w:p>
    <w:p>
      <w:pPr>
        <w:spacing w:after="160"/>
      </w:pPr>
      <w:r>
        <w:t>AI Resume Ranker parses resumes, extracts structured candidate information, and ranks candidates against a job description using a hybrid keyword + semantic matching engine, with a full explainability breakdown per candidate. All mandatory functional and non-functional requirements from the organizer SRS (FR-01 through FR-10, NFR-01 through NFR-05) are implemented and tested. Beyond the mandatory baseline, the implemented project includes:</w:t>
      </w:r>
    </w:p>
    <w:p>
      <w:pPr>
        <w:pStyle w:val="ListParagraph"/>
        <w:numPr>
          <w:ilvl w:val="0"/>
          <w:numId w:val="1"/>
        </w:numPr>
        <w:spacing w:after="80"/>
      </w:pPr>
      <w:r>
        <w:t xml:space="preserve">JWT authentication, bcrypt password hashing, per-recruiter access control, and encryption at rest for resume files and PII (NFR-04).</w:t>
      </w:r>
    </w:p>
    <w:p>
      <w:pPr>
        <w:pStyle w:val="ListParagraph"/>
        <w:numPr>
          <w:ilvl w:val="0"/>
          <w:numId w:val="1"/>
        </w:numPr>
        <w:spacing w:after="80"/>
      </w:pPr>
      <w:r>
        <w:t xml:space="preserve">Asynchronous processing via Celery + Redis for bulk uploads, with a documented, tested synchronous fallback for small batches or broker failure (NFR-02).</w:t>
      </w:r>
    </w:p>
    <w:p>
      <w:pPr>
        <w:pStyle w:val="ListParagraph"/>
        <w:numPr>
          <w:ilvl w:val="0"/>
          <w:numId w:val="1"/>
        </w:numPr>
        <w:spacing w:after="80"/>
      </w:pPr>
      <w:r>
        <w:t>A load test against the full 229-resume organizer dataset, with measured latency and throughput results (Section 12.7).</w:t>
      </w:r>
    </w:p>
    <w:p>
      <w:pPr>
        <w:pStyle w:val="ListParagraph"/>
        <w:numPr>
          <w:ilvl w:val="0"/>
          <w:numId w:val="1"/>
        </w:numPr>
        <w:spacing w:after="80"/>
      </w:pPr>
      <w:r>
        <w:t>A fairness/bias audit using the Bertrand &amp; Mullainathan (2004) name-swap methodology, with measured results and a description of the scope of the test (Section 12.5).</w:t>
      </w:r>
    </w:p>
    <w:p>
      <w:pPr>
        <w:pStyle w:val="ListParagraph"/>
        <w:numPr>
          <w:ilvl w:val="0"/>
          <w:numId w:val="1"/>
        </w:numPr>
        <w:spacing w:after="80"/>
      </w:pPr>
      <w:r>
        <w:t xml:space="preserve">A feedback loop that proposes re-weighted scoring based on recruiter hire/reject decisions, gated by an automatic regression check so ranking quality can never silently degrade (Section 5.4/12.3).</w:t>
      </w:r>
    </w:p>
    <w:p>
      <w:pPr>
        <w:spacing w:after="160"/>
      </w:pPr>
      <w:r>
        <w:t>116 automated backend tests pass. Two defects were found during browser-based end-to-end testing and are documented in Section 5 together with their fixes and regression tests.</w:t>
      </w:r>
    </w:p>
    <w:p>
      <w:pPr>
        <w:pStyle w:val="Heading1"/>
        <w:spacing w:after="200" w:before="400"/>
      </w:pPr>
      <w:r>
        <w:t xml:space="preserve">2. Implementation Status by Phase</w:t>
      </w:r>
    </w:p>
    <w:p>
      <w:pPr>
        <w:spacing w:after="160"/>
      </w:pPr>
      <w:r>
        <w:t>Based on the phased plan in Section 7.1 of the project documentation: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400"/>
      </w:tblGrid>
      <w:tr>
        <w:trPr>
          <w:tblHeader/>
        </w:trPr>
        <w:tc>
          <w:tcPr>
            <w:tcW w:type="dxa" w:w="2400"/>
            <w:shd w:fill="1E293B" w:val="clear"/>
            <w:tcMar>
              <w:top w:type="dxa" w:w="100"/>
              <w:left w:type="dxa" w:w="120"/>
              <w:bottom w:type="dxa" w:w="100"/>
              <w:right w:type="dxa" w:w="120"/>
            </w:tcMar>
          </w:tcPr>
          <w:p>
            <w:r>
              <w:rPr>
                <w:b/>
                <w:bCs/>
                <w:color w:val="FFFFFF"/>
              </w:rPr>
              <w:t xml:space="preserve">Phase</w:t>
            </w:r>
          </w:p>
        </w:tc>
        <w:tc>
          <w:tcPr>
            <w:tcW w:type="dxa" w:w="1400"/>
            <w:shd w:fill="1E293B" w:val="clear"/>
            <w:tcMar>
              <w:top w:type="dxa" w:w="100"/>
              <w:left w:type="dxa" w:w="120"/>
              <w:bottom w:type="dxa" w:w="100"/>
              <w:right w:type="dxa" w:w="120"/>
            </w:tcMar>
          </w:tcPr>
          <w:p>
            <w:r>
              <w:rPr>
                <w:b/>
                <w:bCs/>
                <w:color w:val="FFFFFF"/>
              </w:rPr>
              <w:t xml:space="preserve">Status</w:t>
            </w:r>
          </w:p>
        </w:tc>
        <w:tc>
          <w:tcPr>
            <w:tcW w:type="dxa" w:w="5400"/>
            <w:shd w:fill="1E293B" w:val="clear"/>
            <w:tcMar>
              <w:top w:type="dxa" w:w="100"/>
              <w:left w:type="dxa" w:w="120"/>
              <w:bottom w:type="dxa" w:w="100"/>
              <w:right w:type="dxa" w:w="120"/>
            </w:tcMar>
          </w:tcPr>
          <w:p>
            <w:r>
              <w:rPr>
                <w:b/>
                <w:bCs/>
                <w:color w:val="FFFFFF"/>
              </w:rPr>
              <w:t xml:space="preserve">Notes</w:t>
            </w:r>
          </w:p>
        </w:tc>
      </w:tr>
      <w:tr>
        <w:tc>
          <w:tcPr>
            <w:tcW w:type="dxa" w:w="2400"/>
            <w:tcMar>
              <w:top w:type="dxa" w:w="100"/>
              <w:left w:type="dxa" w:w="120"/>
              <w:bottom w:type="dxa" w:w="100"/>
              <w:right w:type="dxa" w:w="120"/>
            </w:tcMar>
          </w:tcPr>
          <w:p>
            <w:r>
              <w:rPr>
                <w:b w:val="false"/>
                <w:bCs w:val="false"/>
              </w:rPr>
              <w:t xml:space="preserve">Phase 1 — Foundation</w:t>
            </w:r>
          </w:p>
        </w:tc>
        <w:tc>
          <w:tcPr>
            <w:tcW w:type="dxa" w:w="1400"/>
            <w:tcMar>
              <w:top w:type="dxa" w:w="100"/>
              <w:left w:type="dxa" w:w="120"/>
              <w:bottom w:type="dxa" w:w="100"/>
              <w:right w:type="dxa" w:w="120"/>
            </w:tcMar>
          </w:tcPr>
          <w:p>
            <w:r>
              <w:rPr>
                <w:b w:val="false"/>
                <w:bCs w:val="false"/>
              </w:rPr>
              <w:t xml:space="preserve">Complete</w:t>
            </w:r>
          </w:p>
        </w:tc>
        <w:tc>
          <w:tcPr>
            <w:tcW w:type="dxa" w:w="5400"/>
            <w:tcMar>
              <w:top w:type="dxa" w:w="100"/>
              <w:left w:type="dxa" w:w="120"/>
              <w:bottom w:type="dxa" w:w="100"/>
              <w:right w:type="dxa" w:w="120"/>
            </w:tcMar>
          </w:tcPr>
          <w:p>
            <w:r>
              <w:rPr>
                <w:b w:val="false"/>
                <w:bCs w:val="false"/>
              </w:rPr>
              <w:t xml:space="preserve">Repo structure, Docker Compose baseline, dataset staged.</w:t>
            </w:r>
          </w:p>
        </w:tc>
      </w:tr>
      <w:tr>
        <w:tc>
          <w:tcPr>
            <w:tcW w:type="dxa" w:w="2400"/>
            <w:tcMar>
              <w:top w:type="dxa" w:w="100"/>
              <w:left w:type="dxa" w:w="120"/>
              <w:bottom w:type="dxa" w:w="100"/>
              <w:right w:type="dxa" w:w="120"/>
            </w:tcMar>
          </w:tcPr>
          <w:p>
            <w:r>
              <w:rPr>
                <w:b w:val="false"/>
                <w:bCs w:val="false"/>
              </w:rPr>
              <w:t xml:space="preserve">Phase 2-3 — Core Pipeline &amp; Matching</w:t>
            </w:r>
          </w:p>
        </w:tc>
        <w:tc>
          <w:tcPr>
            <w:tcW w:type="dxa" w:w="1400"/>
            <w:tcMar>
              <w:top w:type="dxa" w:w="100"/>
              <w:left w:type="dxa" w:w="120"/>
              <w:bottom w:type="dxa" w:w="100"/>
              <w:right w:type="dxa" w:w="120"/>
            </w:tcMar>
          </w:tcPr>
          <w:p>
            <w:r>
              <w:rPr>
                <w:b w:val="false"/>
                <w:bCs w:val="false"/>
              </w:rPr>
              <w:t xml:space="preserve">Complete</w:t>
            </w:r>
          </w:p>
        </w:tc>
        <w:tc>
          <w:tcPr>
            <w:tcW w:type="dxa" w:w="5400"/>
            <w:tcMar>
              <w:top w:type="dxa" w:w="100"/>
              <w:left w:type="dxa" w:w="120"/>
              <w:bottom w:type="dxa" w:w="100"/>
              <w:right w:type="dxa" w:w="120"/>
            </w:tcMar>
          </w:tcPr>
          <w:p>
            <w:r>
              <w:rPr>
                <w:b w:val="false"/>
                <w:bCs w:val="false"/>
              </w:rPr>
              <w:t xml:space="preserve">Full Flask API over the NLP pipeline; SQLite/Postgres persistence; Section 8.3 edge cases covered.</w:t>
            </w:r>
          </w:p>
        </w:tc>
      </w:tr>
      <w:tr>
        <w:tc>
          <w:tcPr>
            <w:tcW w:type="dxa" w:w="2400"/>
            <w:tcMar>
              <w:top w:type="dxa" w:w="100"/>
              <w:left w:type="dxa" w:w="120"/>
              <w:bottom w:type="dxa" w:w="100"/>
              <w:right w:type="dxa" w:w="120"/>
            </w:tcMar>
          </w:tcPr>
          <w:p>
            <w:r>
              <w:rPr>
                <w:b w:val="false"/>
                <w:bCs w:val="false"/>
              </w:rPr>
              <w:t xml:space="preserve">Phase 4 — Frontend &amp; UX</w:t>
            </w:r>
          </w:p>
        </w:tc>
        <w:tc>
          <w:tcPr>
            <w:tcW w:type="dxa" w:w="1400"/>
            <w:tcMar>
              <w:top w:type="dxa" w:w="100"/>
              <w:left w:type="dxa" w:w="120"/>
              <w:bottom w:type="dxa" w:w="100"/>
              <w:right w:type="dxa" w:w="120"/>
            </w:tcMar>
          </w:tcPr>
          <w:p>
            <w:r>
              <w:rPr>
                <w:b w:val="false"/>
                <w:bCs w:val="false"/>
              </w:rPr>
              <w:t xml:space="preserve">Complete</w:t>
            </w:r>
          </w:p>
        </w:tc>
        <w:tc>
          <w:tcPr>
            <w:tcW w:type="dxa" w:w="5400"/>
            <w:tcMar>
              <w:top w:type="dxa" w:w="100"/>
              <w:left w:type="dxa" w:w="120"/>
              <w:bottom w:type="dxa" w:w="100"/>
              <w:right w:type="dxa" w:w="120"/>
            </w:tcMar>
          </w:tcPr>
          <w:p>
            <w:r>
              <w:rPr>
                <w:b w:val="false"/>
                <w:bCs w:val="false"/>
              </w:rPr>
              <w:t xml:space="preserve">React + Tailwind; upload wizard, ranked results, explainability drawer, search/filter, analytics.</w:t>
            </w:r>
          </w:p>
        </w:tc>
      </w:tr>
      <w:tr>
        <w:tc>
          <w:tcPr>
            <w:tcW w:type="dxa" w:w="2400"/>
            <w:tcMar>
              <w:top w:type="dxa" w:w="100"/>
              <w:left w:type="dxa" w:w="120"/>
              <w:bottom w:type="dxa" w:w="100"/>
              <w:right w:type="dxa" w:w="120"/>
            </w:tcMar>
          </w:tcPr>
          <w:p>
            <w:r>
              <w:rPr>
                <w:b w:val="false"/>
                <w:bCs w:val="false"/>
              </w:rPr>
              <w:t xml:space="preserve">Phase 5 — Integration &amp; Hardening</w:t>
            </w:r>
          </w:p>
        </w:tc>
        <w:tc>
          <w:tcPr>
            <w:tcW w:type="dxa" w:w="1400"/>
            <w:tcMar>
              <w:top w:type="dxa" w:w="100"/>
              <w:left w:type="dxa" w:w="120"/>
              <w:bottom w:type="dxa" w:w="100"/>
              <w:right w:type="dxa" w:w="120"/>
            </w:tcMar>
          </w:tcPr>
          <w:p>
            <w:r>
              <w:rPr>
                <w:b w:val="false"/>
                <w:bCs w:val="false"/>
              </w:rPr>
              <w:t xml:space="preserve">Complete</w:t>
            </w:r>
          </w:p>
        </w:tc>
        <w:tc>
          <w:tcPr>
            <w:tcW w:type="dxa" w:w="5400"/>
            <w:tcMar>
              <w:top w:type="dxa" w:w="100"/>
              <w:left w:type="dxa" w:w="120"/>
              <w:bottom w:type="dxa" w:w="100"/>
              <w:right w:type="dxa" w:w="120"/>
            </w:tcMar>
          </w:tcPr>
          <w:p>
            <w:r>
              <w:rPr>
                <w:b w:val="false"/>
                <w:bCs w:val="false"/>
              </w:rPr>
              <w:t>JWT auth, encryption at rest, Celery/Redis async with fallback, and load testing.</w:t>
            </w:r>
          </w:p>
        </w:tc>
      </w:tr>
      <w:tr>
        <w:tc>
          <w:tcPr>
            <w:tcW w:type="dxa" w:w="2400"/>
            <w:tcMar>
              <w:top w:type="dxa" w:w="100"/>
              <w:left w:type="dxa" w:w="120"/>
              <w:bottom w:type="dxa" w:w="100"/>
              <w:right w:type="dxa" w:w="120"/>
            </w:tcMar>
          </w:tcPr>
          <w:p>
            <w:r>
              <w:rPr>
                <w:b w:val="false"/>
                <w:bCs w:val="false"/>
              </w:rPr>
              <w:t xml:space="preserve">Section 12.5 — Fairness Testing</w:t>
            </w:r>
          </w:p>
        </w:tc>
        <w:tc>
          <w:tcPr>
            <w:tcW w:type="dxa" w:w="1400"/>
            <w:tcMar>
              <w:top w:type="dxa" w:w="100"/>
              <w:left w:type="dxa" w:w="120"/>
              <w:bottom w:type="dxa" w:w="100"/>
              <w:right w:type="dxa" w:w="120"/>
            </w:tcMar>
          </w:tcPr>
          <w:p>
            <w:r>
              <w:rPr>
                <w:b w:val="false"/>
                <w:bCs w:val="false"/>
              </w:rPr>
              <w:t xml:space="preserve">Complete</w:t>
            </w:r>
          </w:p>
        </w:tc>
        <w:tc>
          <w:tcPr>
            <w:tcW w:type="dxa" w:w="5400"/>
            <w:tcMar>
              <w:top w:type="dxa" w:w="100"/>
              <w:left w:type="dxa" w:w="120"/>
              <w:bottom w:type="dxa" w:w="100"/>
              <w:right w:type="dxa" w:w="120"/>
            </w:tcMar>
          </w:tcPr>
          <w:p>
            <w:r>
              <w:rPr>
                <w:b w:val="false"/>
                <w:bCs w:val="false"/>
              </w:rPr>
              <w:t xml:space="preserve">10/10 pairs passed; full methodology and caveats documented.</w:t>
            </w:r>
          </w:p>
        </w:tc>
      </w:tr>
      <w:tr>
        <w:tc>
          <w:tcPr>
            <w:tcW w:type="dxa" w:w="2400"/>
            <w:tcMar>
              <w:top w:type="dxa" w:w="100"/>
              <w:left w:type="dxa" w:w="120"/>
              <w:bottom w:type="dxa" w:w="100"/>
              <w:right w:type="dxa" w:w="120"/>
            </w:tcMar>
          </w:tcPr>
          <w:p>
            <w:r>
              <w:rPr>
                <w:b w:val="false"/>
                <w:bCs w:val="false"/>
              </w:rPr>
              <w:t xml:space="preserve">Section 5.4/12.3 — Feedback Loop</w:t>
            </w:r>
          </w:p>
        </w:tc>
        <w:tc>
          <w:tcPr>
            <w:tcW w:type="dxa" w:w="1400"/>
            <w:tcMar>
              <w:top w:type="dxa" w:w="100"/>
              <w:left w:type="dxa" w:w="120"/>
              <w:bottom w:type="dxa" w:w="100"/>
              <w:right w:type="dxa" w:w="120"/>
            </w:tcMar>
          </w:tcPr>
          <w:p>
            <w:r>
              <w:rPr>
                <w:b w:val="false"/>
                <w:bCs w:val="false"/>
              </w:rPr>
              <w:t xml:space="preserve">Complete</w:t>
            </w:r>
          </w:p>
        </w:tc>
        <w:tc>
          <w:tcPr>
            <w:tcW w:type="dxa" w:w="5400"/>
            <w:tcMar>
              <w:top w:type="dxa" w:w="100"/>
              <w:left w:type="dxa" w:w="120"/>
              <w:bottom w:type="dxa" w:w="100"/>
              <w:right w:type="dxa" w:w="120"/>
            </w:tcMar>
          </w:tcPr>
          <w:p>
            <w:r>
              <w:rPr>
                <w:b w:val="false"/>
                <w:bCs w:val="false"/>
              </w:rPr>
              <w:t xml:space="preserve">Heuristic proposal + regression-gated promotion; verified against both an empty and a populated validation set.</w:t>
            </w:r>
          </w:p>
        </w:tc>
      </w:tr>
      <w:tr>
        <w:tc>
          <w:tcPr>
            <w:tcW w:type="dxa" w:w="2400"/>
            <w:tcMar>
              <w:top w:type="dxa" w:w="100"/>
              <w:left w:type="dxa" w:w="120"/>
              <w:bottom w:type="dxa" w:w="100"/>
              <w:right w:type="dxa" w:w="120"/>
            </w:tcMar>
          </w:tcPr>
          <w:p>
            <w:r>
              <w:rPr>
                <w:b w:val="false"/>
                <w:bCs w:val="false"/>
              </w:rPr>
              <w:t xml:space="preserve">Phase 6 — Documentation &amp; Demo Prep</w:t>
            </w:r>
          </w:p>
        </w:tc>
        <w:tc>
          <w:tcPr>
            <w:tcW w:type="dxa" w:w="1400"/>
            <w:tcMar>
              <w:top w:type="dxa" w:w="100"/>
              <w:left w:type="dxa" w:w="120"/>
              <w:bottom w:type="dxa" w:w="100"/>
              <w:right w:type="dxa" w:w="120"/>
            </w:tcMar>
          </w:tcPr>
          <w:p>
            <w:r>
              <w:rPr>
                <w:b w:val="false"/>
                <w:bCs w:val="false"/>
              </w:rPr>
              <w:t xml:space="preserve">In progress</w:t>
            </w:r>
          </w:p>
        </w:tc>
        <w:tc>
          <w:tcPr>
            <w:tcW w:type="dxa" w:w="5400"/>
            <w:tcMar>
              <w:top w:type="dxa" w:w="100"/>
              <w:left w:type="dxa" w:w="120"/>
              <w:bottom w:type="dxa" w:w="100"/>
              <w:right w:type="dxa" w:w="120"/>
            </w:tcMar>
          </w:tcPr>
          <w:p>
            <w:r>
              <w:rPr>
                <w:b w:val="false"/>
                <w:bCs w:val="false"/>
              </w:rPr>
              <w:t xml:space="preserve">This report and the blog draft are part of this phase; demo video and final report review remain with the team.</w:t>
            </w:r>
          </w:p>
        </w:tc>
      </w:tr>
    </w:tbl>
    <w:p>
      <w:r>
        <w:br w:type="page"/>
      </w:r>
    </w:p>
    <w:p>
      <w:pPr>
        <w:pStyle w:val="Heading1"/>
        <w:spacing w:after="200" w:before="400"/>
      </w:pPr>
      <w:r>
        <w:t xml:space="preserve">3. System Architecture &amp; Data Flow</w:t>
      </w:r>
    </w:p>
    <w:p>
      <w:pPr>
        <w:spacing w:after="160"/>
      </w:pPr>
      <w:r>
        <w:t>The diagram below reflects the implemented system and its current component boundaries, including the synchronous/asynchronous split and the feedback loop. It updates the illustrative architecture in Section 4.1 of the original project documentation.</w:t>
      </w:r>
    </w:p>
    <w:p>
      <w:pPr>
        <w:spacing w:after="200" w:before="200"/>
        <w:jc w:val="center"/>
      </w:pPr>
      <w:r>
        <w:drawing>
          <ns2:inline distT="0" distB="0" distL="0" distR="0">
            <ns2:extent cx="5905500" cy="5210175"/>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7" cstate="none"/>
                    <ns3:srcRect/>
                    <ns3:stretch>
                      <ns3:fillRect/>
                    </ns3:stretch>
                  </ns4:blipFill>
                  <ns4:spPr bwMode="auto">
                    <ns3:xfrm>
                      <ns3:off x="0" y="0"/>
                      <ns3:ext cx="5905500" cy="5210175"/>
                    </ns3:xfrm>
                    <ns3:prstGeom prst="rect">
                      <ns3:avLst/>
                    </ns3:prstGeom>
                  </ns4:spPr>
                </ns4:pic>
              </ns3:graphicData>
            </ns3:graphic>
          </ns2:inline>
        </w:drawing>
      </w:r>
    </w:p>
    <w:p>
      <w:r>
        <w:br w:type="page"/>
      </w:r>
    </w:p>
    <w:p>
      <w:pPr>
        <w:pStyle w:val="Heading1"/>
        <w:spacing w:after="200" w:before="400"/>
      </w:pPr>
      <w:r>
        <w:t xml:space="preserve">4. Testing Results (Section 8)</w:t>
      </w:r>
    </w:p>
    <w:p>
      <w:pPr>
        <w:pStyle w:val="Heading2"/>
        <w:spacing w:after="150" w:before="300"/>
      </w:pPr>
      <w:r>
        <w:t xml:space="preserve">4.1 Automated Test Suite</w:t>
      </w:r>
    </w:p>
    <w:p>
      <w:pPr>
        <w:spacing w:after="160"/>
      </w:pPr>
      <w:r>
        <w:t xml:space="preserve">116 backend tests pass, organized as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1E293B" w:val="clear"/>
            <w:tcMar>
              <w:top w:type="dxa" w:w="100"/>
              <w:left w:type="dxa" w:w="120"/>
              <w:bottom w:type="dxa" w:w="100"/>
              <w:right w:type="dxa" w:w="120"/>
            </w:tcMar>
          </w:tcPr>
          <w:p>
            <w:r>
              <w:rPr>
                <w:b/>
                <w:bCs/>
                <w:color w:val="FFFFFF"/>
              </w:rPr>
              <w:t xml:space="preserve">Category</w:t>
            </w:r>
          </w:p>
        </w:tc>
        <w:tc>
          <w:tcPr>
            <w:tcW w:type="dxa" w:w="7000"/>
            <w:shd w:fill="1E293B" w:val="clear"/>
            <w:tcMar>
              <w:top w:type="dxa" w:w="100"/>
              <w:left w:type="dxa" w:w="120"/>
              <w:bottom w:type="dxa" w:w="100"/>
              <w:right w:type="dxa" w:w="120"/>
            </w:tcMar>
          </w:tcPr>
          <w:p>
            <w:r>
              <w:rPr>
                <w:b/>
                <w:bCs/>
                <w:color w:val="FFFFFF"/>
              </w:rPr>
              <w:t xml:space="preserve">What it covers</w:t>
            </w:r>
          </w:p>
        </w:tc>
      </w:tr>
      <w:tr>
        <w:tc>
          <w:tcPr>
            <w:tcW w:type="dxa" w:w="2200"/>
            <w:tcMar>
              <w:top w:type="dxa" w:w="100"/>
              <w:left w:type="dxa" w:w="120"/>
              <w:bottom w:type="dxa" w:w="100"/>
              <w:right w:type="dxa" w:w="120"/>
            </w:tcMar>
          </w:tcPr>
          <w:p>
            <w:r>
              <w:rPr>
                <w:b w:val="false"/>
                <w:bCs w:val="false"/>
              </w:rPr>
              <w:t xml:space="preserve">Pipeline units</w:t>
            </w:r>
          </w:p>
        </w:tc>
        <w:tc>
          <w:tcPr>
            <w:tcW w:type="dxa" w:w="7000"/>
            <w:tcMar>
              <w:top w:type="dxa" w:w="100"/>
              <w:left w:type="dxa" w:w="120"/>
              <w:bottom w:type="dxa" w:w="100"/>
              <w:right w:type="dxa" w:w="120"/>
            </w:tcMar>
          </w:tcPr>
          <w:p>
            <w:r>
              <w:rPr>
                <w:b w:val="false"/>
                <w:bCs w:val="false"/>
              </w:rPr>
              <w:t xml:space="preserve">Tokenizer, stopword removal, lemmatizer, skills-gazetteer matcher, scoring formula, confidence bands.</w:t>
            </w:r>
          </w:p>
        </w:tc>
      </w:tr>
      <w:tr>
        <w:tc>
          <w:tcPr>
            <w:tcW w:type="dxa" w:w="2200"/>
            <w:tcMar>
              <w:top w:type="dxa" w:w="100"/>
              <w:left w:type="dxa" w:w="120"/>
              <w:bottom w:type="dxa" w:w="100"/>
              <w:right w:type="dxa" w:w="120"/>
            </w:tcMar>
          </w:tcPr>
          <w:p>
            <w:r>
              <w:rPr>
                <w:b w:val="false"/>
                <w:bCs w:val="false"/>
              </w:rPr>
              <w:t xml:space="preserve">API integration</w:t>
            </w:r>
          </w:p>
        </w:tc>
        <w:tc>
          <w:tcPr>
            <w:tcW w:type="dxa" w:w="7000"/>
            <w:tcMar>
              <w:top w:type="dxa" w:w="100"/>
              <w:left w:type="dxa" w:w="120"/>
              <w:bottom w:type="dxa" w:w="100"/>
              <w:right w:type="dxa" w:w="120"/>
            </w:tcMar>
          </w:tcPr>
          <w:p>
            <w:r>
              <w:rPr>
                <w:b w:val="false"/>
                <w:bCs w:val="false"/>
              </w:rPr>
              <w:t xml:space="preserve">Full recruiter journey end-to-end: upload → JD → rank → results → explain → search → feedback → export → analytics.</w:t>
            </w:r>
          </w:p>
        </w:tc>
      </w:tr>
      <w:tr>
        <w:tc>
          <w:tcPr>
            <w:tcW w:type="dxa" w:w="2200"/>
            <w:tcMar>
              <w:top w:type="dxa" w:w="100"/>
              <w:left w:type="dxa" w:w="120"/>
              <w:bottom w:type="dxa" w:w="100"/>
              <w:right w:type="dxa" w:w="120"/>
            </w:tcMar>
          </w:tcPr>
          <w:p>
            <w:r>
              <w:rPr>
                <w:b w:val="false"/>
                <w:bCs w:val="false"/>
              </w:rPr>
              <w:t xml:space="preserve">Section 8.3 edge cases</w:t>
            </w:r>
          </w:p>
        </w:tc>
        <w:tc>
          <w:tcPr>
            <w:tcW w:type="dxa" w:w="7000"/>
            <w:tcMar>
              <w:top w:type="dxa" w:w="100"/>
              <w:left w:type="dxa" w:w="120"/>
              <w:bottom w:type="dxa" w:w="100"/>
              <w:right w:type="dxa" w:w="120"/>
            </w:tcMar>
          </w:tcPr>
          <w:p>
            <w:r>
              <w:rPr>
                <w:b w:val="false"/>
                <w:bCs w:val="false"/>
              </w:rPr>
              <w:t xml:space="preserve">Corrupt .docx, a .exe renamed to .docx, oversized/empty files, duplicate resumes, deterministic tie-breaking, a deliberately mismatched JD producing “no strong matches.”</w:t>
            </w:r>
          </w:p>
        </w:tc>
      </w:tr>
      <w:tr>
        <w:tc>
          <w:tcPr>
            <w:tcW w:type="dxa" w:w="2200"/>
            <w:tcMar>
              <w:top w:type="dxa" w:w="100"/>
              <w:left w:type="dxa" w:w="120"/>
              <w:bottom w:type="dxa" w:w="100"/>
              <w:right w:type="dxa" w:w="120"/>
            </w:tcMar>
          </w:tcPr>
          <w:p>
            <w:r>
              <w:rPr>
                <w:b w:val="false"/>
                <w:bCs w:val="false"/>
              </w:rPr>
              <w:t xml:space="preserve">Auth &amp; access control</w:t>
            </w:r>
          </w:p>
        </w:tc>
        <w:tc>
          <w:tcPr>
            <w:tcW w:type="dxa" w:w="7000"/>
            <w:tcMar>
              <w:top w:type="dxa" w:w="100"/>
              <w:left w:type="dxa" w:w="120"/>
              <w:bottom w:type="dxa" w:w="100"/>
              <w:right w:type="dxa" w:w="120"/>
            </w:tcMar>
          </w:tcPr>
          <w:p>
            <w:r>
              <w:rPr>
                <w:b w:val="false"/>
                <w:bCs w:val="false"/>
              </w:rPr>
              <w:t xml:space="preserve">Register/login validation, unauthenticated-request rejection on every route, cross-recruiter 403s, encryption-at-rest verification, cascading delete.</w:t>
            </w:r>
          </w:p>
        </w:tc>
      </w:tr>
      <w:tr>
        <w:tc>
          <w:tcPr>
            <w:tcW w:type="dxa" w:w="2200"/>
            <w:tcMar>
              <w:top w:type="dxa" w:w="100"/>
              <w:left w:type="dxa" w:w="120"/>
              <w:bottom w:type="dxa" w:w="100"/>
              <w:right w:type="dxa" w:w="120"/>
            </w:tcMar>
          </w:tcPr>
          <w:p>
            <w:r>
              <w:rPr>
                <w:b w:val="false"/>
                <w:bCs w:val="false"/>
              </w:rPr>
              <w:t xml:space="preserve">Async processing</w:t>
            </w:r>
          </w:p>
        </w:tc>
        <w:tc>
          <w:tcPr>
            <w:tcW w:type="dxa" w:w="7000"/>
            <w:tcMar>
              <w:top w:type="dxa" w:w="100"/>
              <w:left w:type="dxa" w:w="120"/>
              <w:bottom w:type="dxa" w:w="100"/>
              <w:right w:type="dxa" w:w="120"/>
            </w:tcMar>
          </w:tcPr>
          <w:p>
            <w:r>
              <w:rPr>
                <w:b w:val="0"/>
                <w:bCs w:val="false"/>
                <w:i w:val="0"/>
              </w:rPr>
              <w:t>The task's work function in isolation; graceful fallback when the broker is unreachable; a Redis-protocol test server (fakeredis) used to verify the producer path.</w:t>
            </w:r>
          </w:p>
        </w:tc>
      </w:tr>
      <w:tr>
        <w:tc>
          <w:tcPr>
            <w:tcW w:type="dxa" w:w="2200"/>
            <w:tcMar>
              <w:top w:type="dxa" w:w="100"/>
              <w:left w:type="dxa" w:w="120"/>
              <w:bottom w:type="dxa" w:w="100"/>
              <w:right w:type="dxa" w:w="120"/>
            </w:tcMar>
          </w:tcPr>
          <w:p>
            <w:r>
              <w:rPr>
                <w:b w:val="false"/>
                <w:bCs w:val="false"/>
              </w:rPr>
              <w:t xml:space="preserve">Fairness testing</w:t>
            </w:r>
          </w:p>
        </w:tc>
        <w:tc>
          <w:tcPr>
            <w:tcW w:type="dxa" w:w="7000"/>
            <w:tcMar>
              <w:top w:type="dxa" w:w="100"/>
              <w:left w:type="dxa" w:w="120"/>
              <w:bottom w:type="dxa" w:w="100"/>
              <w:right w:type="dxa" w:w="120"/>
            </w:tcMar>
          </w:tcPr>
          <w:p>
            <w:r>
              <w:rPr>
                <w:b w:val="false"/>
                <w:bCs w:val="false"/>
              </w:rPr>
              <w:t>Name-swap mechanism correctness; the audit script itself was additionally run against 10 resumes (Section 6.3).</w:t>
            </w:r>
          </w:p>
        </w:tc>
      </w:tr>
      <w:tr>
        <w:tc>
          <w:tcPr>
            <w:tcW w:type="dxa" w:w="2200"/>
            <w:tcMar>
              <w:top w:type="dxa" w:w="100"/>
              <w:left w:type="dxa" w:w="120"/>
              <w:bottom w:type="dxa" w:w="100"/>
              <w:right w:type="dxa" w:w="120"/>
            </w:tcMar>
          </w:tcPr>
          <w:p>
            <w:r>
              <w:rPr>
                <w:b w:val="false"/>
                <w:bCs w:val="false"/>
              </w:rPr>
              <w:t xml:space="preserve">Feedback re-weighting</w:t>
            </w:r>
          </w:p>
        </w:tc>
        <w:tc>
          <w:tcPr>
            <w:tcW w:type="dxa" w:w="7000"/>
            <w:tcMar>
              <w:top w:type="dxa" w:w="100"/>
              <w:left w:type="dxa" w:w="120"/>
              <w:bottom w:type="dxa" w:w="100"/>
              <w:right w:type="dxa" w:w="120"/>
            </w:tcMar>
          </w:tcPr>
          <w:p>
            <w:r>
              <w:rPr>
                <w:b w:val="0"/>
                <w:bCs w:val="false"/>
                <w:i w:val="0"/>
              </w:rPr>
              <w:t>Job-category inference, the heuristic proposal, and the regression-gated promote/reject path exercised against a populated validation set as well as the empty-validation-set path.</w:t>
            </w:r>
          </w:p>
        </w:tc>
      </w:tr>
    </w:tbl>
    <w:p>
      <w:pPr>
        <w:pStyle w:val="Heading2"/>
        <w:spacing w:after="150" w:before="300"/>
      </w:pPr>
      <w:r>
        <w:t>4.2 Defects Found During Testing</w:t>
      </w:r>
    </w:p>
    <w:p>
      <w:pPr>
        <w:spacing w:after="160"/>
      </w:pPr>
      <w:r>
        <w:t>Automated tests cover the expected cases, while end-to-end testing also identified two defects that were not exposed by the automated suite:</w:t>
      </w:r>
    </w:p>
    <w:p>
      <w:pPr>
        <w:spacing w:after="160"/>
      </w:pPr>
      <w:r>
        <w:rPr>
          <w:b/>
          <w:bCs/>
        </w:rPr>
        <w:t xml:space="preserve">Bug 1 — Windows file-lock crash on corrupt uploads. </w:t>
      </w:r>
      <w:r>
        <w:t xml:space="preserve">When a corrupt resume failed to parse, python-docx could still hold the file handle open on Windows, so the cleanup </w:t>
      </w:r>
      <w:r>
        <w:rPr>
          <w:rFonts w:ascii="Consolas" w:cs="Consolas" w:eastAsia="Consolas" w:hAnsi="Consolas"/>
          <w:sz w:val="20"/>
          <w:szCs w:val="20"/>
        </w:rPr>
        <w:t xml:space="preserve">unlink()</w:t>
      </w:r>
      <w:r>
        <w:t xml:space="preserve"> in services.py threw </w:t>
      </w:r>
      <w:r>
        <w:rPr>
          <w:rFonts w:ascii="Consolas" w:cs="Consolas" w:eastAsia="Consolas" w:hAnsi="Consolas"/>
          <w:sz w:val="20"/>
          <w:szCs w:val="20"/>
        </w:rPr>
        <w:t xml:space="preserve">PermissionError</w:t>
      </w:r>
      <w:r>
        <w:t xml:space="preserve">, turning what should have been a clean per-file “error” status into an unhandled 500 for the whole upload request. Fixed by not letting the cleanup failure propagate. Regression test: </w:t>
      </w:r>
      <w:r>
        <w:rPr>
          <w:rFonts w:ascii="Consolas" w:cs="Consolas" w:eastAsia="Consolas" w:hAnsi="Consolas"/>
          <w:sz w:val="20"/>
          <w:szCs w:val="20"/>
        </w:rPr>
        <w:t xml:space="preserve">test_edge_cases.py::test_corrupt_docx_through_upload_api_returns_400_not_500</w:t>
      </w:r>
      <w:r>
        <w:t xml:space="preserve">.</w:t>
      </w:r>
    </w:p>
    <w:p>
      <w:pPr>
        <w:spacing w:after="160"/>
      </w:pPr>
      <w:r>
        <w:rPr>
          <w:b/>
          <w:bCs/>
          <w:i w:val="0"/>
        </w:rPr>
        <w:t>Bug 2 — internal storage UUID leaking as a candidate's name. Uploaded resumes are stored on disk under a UUID-based filename to avoid collisions. The parser derives its internal filename field from whatever path it's given, so without correction, the name-extraction fallback chain displayed that internal UUID as the candidate's name whenever no stronger name signal was found in the resume text. Found during browser-based testing when the stored file identifier appeared as the candidate name. Fixed in services.py and tasks.py by restoring the original uploaded filename immediately after parsing. Regression test: test_edge_cases.py::TestUploadFilenameIdentity.</w:t>
      </w:r>
      <w:r/>
      <w:r>
        <w:rPr>
          <w:rFonts w:ascii="Consolas" w:cs="Consolas" w:eastAsia="Consolas" w:hAnsi="Consolas"/>
          <w:sz w:val="20"/>
          <w:szCs w:val="20"/>
        </w:rPr>
      </w:r>
      <w:r/>
      <w:r>
        <w:rPr>
          <w:rFonts w:ascii="Consolas" w:cs="Consolas" w:eastAsia="Consolas" w:hAnsi="Consolas"/>
          <w:sz w:val="20"/>
          <w:szCs w:val="20"/>
        </w:rPr>
      </w:r>
      <w:r/>
      <w:r>
        <w:rPr>
          <w:b w:val="0"/>
          <w:i w:val="0"/>
        </w:rPr>
      </w:r>
    </w:p>
    <w:p>
      <w:pPr>
        <w:spacing w:after="160"/>
      </w:pPr>
      <w:r>
        <w:t>A further issue was identified and fixed during Phase 5: adding per-file upload-job tracking tripled SQLite commits per uploaded file, and combined with this repository living in a cloud-synced folder, a 15-file test that normally completed in about 30 seconds took 52 minutes in one run. Fixed with SQLite WAL mode (a standard optimization for write-heavy workloads), independently of the exact cause.</w:t>
      </w:r>
    </w:p>
    <w:p>
      <w:r>
        <w:br w:type="page"/>
      </w:r>
    </w:p>
    <w:p>
      <w:pPr>
        <w:pStyle w:val="Heading1"/>
        <w:spacing w:after="200" w:before="400"/>
      </w:pPr>
      <w:r>
        <w:t>5. Model Evaluation &amp; Responsible AI — Results (Section 12)</w:t>
      </w:r>
    </w:p>
    <w:p>
      <w:pPr>
        <w:pStyle w:val="Heading2"/>
        <w:spacing w:after="150" w:before="300"/>
      </w:pPr>
      <w:r>
        <w:t xml:space="preserve">5.1 Ranking Quality Metrics (Section 12.1-12.2)</w:t>
      </w:r>
    </w:p>
    <w:p>
      <w:r>
        <w:t>The Precision@5, Precision@10, NDCG@10, and MRR evaluation harness is fully built and tested (nlp_pipeline/evaluation.py, backend/scripts/evaluate_ranking.py). It evaluates ranking quality against ground-truth validation labels defined per JD (template provided at docs/validation_labels_template.json).</w:t>
      </w:r>
    </w:p>
    <w:p>
      <w:pPr>
        <w:pStyle w:val="Heading2"/>
        <w:spacing w:after="150" w:before="300"/>
      </w:pPr>
      <w:r>
        <w:t xml:space="preserve">5.2 Regression-Gated Feedback Loop (Section 5.4/12.3)</w:t>
      </w:r>
    </w:p>
    <w:p>
      <w:pPr>
        <w:spacing w:after="160"/>
      </w:pPr>
      <w:r>
        <w:t>Recruiter hire/reject decisions are aggregated per job category. A heuristic compares the average keyword-score and average semantic-score of hired vs. rejected candidates and proposes a weight adjustment toward whichever score type separates the two groups better. That proposal is only ever applied to live ranking if it can be verified, against the Section 12.1 validation set, not to regress Precision@5/NDCG@10 beyond tolerance. Every proposal is logged in the ScoringWeights table together with its validation outcome. No labeled validation set is currently available, so current proposals are recorded but not promoted.</w:t>
      </w:r>
    </w:p>
    <w:p>
      <w:pPr>
        <w:pStyle w:val="Heading2"/>
        <w:spacing w:after="150" w:before="300"/>
      </w:pPr>
      <w:r>
        <w:t>5.3 Fairness &amp; Bias Testing (Section 12.5) — Results</w:t>
      </w:r>
    </w:p>
    <w:p>
      <w:pPr>
        <w:spacing w:after="160"/>
      </w:pPr>
      <w:r>
        <w:t>Methodology: for 10 resumes from the organizer dataset, we produced an otherwise-identical copy with only the candidate's name changed to one associated with a different gender or racial/ethnic group, scored both against the same job description, and checked the composite score shift against a ±2.0 point tolerance. The race/ethnicity name pairs are drawn from Bertrand &amp; Mullainathan (2004), “Are Emily and Greg More Employable Than Lakisha and Jamal? A Field Experiment on Labor Market Discrimination” (American Economic Review) — independently validated via Massachusetts birth records and perception surveys, not guessed internally.</w:t>
      </w:r>
    </w:p>
    <w:tbl>
      <w:tblPr>
        <w:tblW w:type="pct" w:w="100%"/>
        <w:tblBorders>
          <w:top w:val="single" w:color="059669" w:sz="4"/>
          <w:left w:val="single" w:color="059669" w:sz="4"/>
          <w:bottom w:val="single" w:color="059669" w:sz="4"/>
          <w:right w:val="single" w:color="059669" w:sz="4"/>
          <w:insideH w:val="none"/>
          <w:insideV w:val="none"/>
        </w:tblBorders>
      </w:tblPr>
      <w:tblGrid>
        <w:gridCol w:w="100"/>
      </w:tblGrid>
      <w:tr>
        <w:tc>
          <w:tcPr>
            <w:shd w:fill="D1FAE5" w:val="clear"/>
            <w:tcMar>
              <w:top w:type="dxa" w:w="160"/>
              <w:left w:type="dxa" w:w="200"/>
              <w:bottom w:type="dxa" w:w="160"/>
              <w:right w:type="dxa" w:w="200"/>
            </w:tcMar>
          </w:tcPr>
          <w:p>
            <w:pPr>
              <w:spacing w:after="160"/>
            </w:pPr>
            <w:r>
              <w:rPr>
                <w:b/>
                <w:bCs/>
              </w:rPr>
              <w:t xml:space="preserve">Result: 10/10 pairs passed, every single one with a measured delta of exactly 0.0 points.</w:t>
            </w:r>
            <w:r>
              <w:t xml:space="preserve">  Full data: docs/fairness_check_report.md / .json.</w:t>
            </w:r>
          </w:p>
        </w:tc>
      </w:tr>
    </w:tbl>
    <w:p>
      <w:pPr>
        <w:spacing w:after="160"/>
      </w:pPr>
      <w:r>
        <w:t xml:space="preserve"/>
      </w:r>
    </w:p>
    <w:p>
      <w:pPr>
        <w:spacing w:after="160"/>
      </w:pPr>
      <w:r>
        <w:t>The measured zero-delta result is consistent with the current matching architecture: the skills gazetteer does not use candidate names, the active spaCy-based fallback filters tokens without a pretrained vector before scoring, and isolated rare name tokens have limited influence on TF-IDF cosine similarity.</w:t>
      </w:r>
    </w:p>
    <w:p>
      <w:pPr>
        <w:spacing w:after="160"/>
      </w:pPr>
      <w:r>
        <w:rPr>
          <w:b/>
          <w:bCs/>
        </w:rPr>
        <w:t>Scope of the result: the test checks whether a name change alone directly changes the score for the current backend. It does not establish that the system is free from other forms of bias. The test should be repeated when Sentence-BERT is active because the semantic backend processes the full text differently.</w:t>
      </w:r>
      <w:r/>
    </w:p>
    <w:p>
      <w:pPr>
        <w:pStyle w:val="Heading2"/>
        <w:spacing w:after="150" w:before="300"/>
      </w:pPr>
      <w:r>
        <w:t>5.4 Load Testing (Section 12.7) — Results</w:t>
      </w:r>
    </w:p>
    <w:p>
      <w:pPr>
        <w:spacing w:after="160"/>
      </w:pPr>
      <w:r>
        <w:t>Run against a live backend over HTTP with a Celery worker consuming from a Redis-protocol broker. The test uses all 229 resumes delivered with the project dataset; the SRS references 228 resumes.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shd w:fill="1E293B" w:val="clear"/>
            <w:tcMar>
              <w:top w:type="dxa" w:w="100"/>
              <w:left w:type="dxa" w:w="120"/>
              <w:bottom w:type="dxa" w:w="100"/>
              <w:right w:type="dxa" w:w="120"/>
            </w:tcMar>
          </w:tcPr>
          <w:p>
            <w:r>
              <w:rPr>
                <w:b/>
                <w:bCs/>
                <w:color w:val="FFFFFF"/>
              </w:rPr>
              <w:t xml:space="preserve">Metric</w:t>
            </w:r>
          </w:p>
        </w:tc>
        <w:tc>
          <w:tcPr>
            <w:tcW w:type="dxa" w:w="5200"/>
            <w:shd w:fill="1E293B" w:val="clear"/>
            <w:tcMar>
              <w:top w:type="dxa" w:w="100"/>
              <w:left w:type="dxa" w:w="120"/>
              <w:bottom w:type="dxa" w:w="100"/>
              <w:right w:type="dxa" w:w="120"/>
            </w:tcMar>
          </w:tcPr>
          <w:p>
            <w:r>
              <w:rPr>
                <w:b/>
                <w:bCs/>
                <w:color w:val="FFFFFF"/>
              </w:rPr>
              <w:t xml:space="preserve">Result</w:t>
            </w:r>
          </w:p>
        </w:tc>
      </w:tr>
      <w:tr>
        <w:tc>
          <w:tcPr>
            <w:tcW w:type="dxa" w:w="4200"/>
            <w:tcMar>
              <w:top w:type="dxa" w:w="100"/>
              <w:left w:type="dxa" w:w="120"/>
              <w:bottom w:type="dxa" w:w="100"/>
              <w:right w:type="dxa" w:w="120"/>
            </w:tcMar>
          </w:tcPr>
          <w:p>
            <w:r>
              <w:rPr>
                <w:b w:val="false"/>
                <w:bCs w:val="false"/>
              </w:rPr>
              <w:t xml:space="preserve">Bulk upload request (229 files)</w:t>
            </w:r>
          </w:p>
        </w:tc>
        <w:tc>
          <w:tcPr>
            <w:tcW w:type="dxa" w:w="5200"/>
            <w:tcMar>
              <w:top w:type="dxa" w:w="100"/>
              <w:left w:type="dxa" w:w="120"/>
              <w:bottom w:type="dxa" w:w="100"/>
              <w:right w:type="dxa" w:w="120"/>
            </w:tcMar>
          </w:tcPr>
          <w:p>
            <w:r>
              <w:rPr>
                <w:b w:val="false"/>
                <w:bCs w:val="false"/>
              </w:rPr>
              <w:t xml:space="preserve">4.3 seconds (async engaged — all 229 came back “queued,” not blocking on parse time)</w:t>
            </w:r>
          </w:p>
        </w:tc>
      </w:tr>
      <w:tr>
        <w:tc>
          <w:tcPr>
            <w:tcW w:type="dxa" w:w="4200"/>
            <w:tcMar>
              <w:top w:type="dxa" w:w="100"/>
              <w:left w:type="dxa" w:w="120"/>
              <w:bottom w:type="dxa" w:w="100"/>
              <w:right w:type="dxa" w:w="120"/>
            </w:tcMar>
          </w:tcPr>
          <w:p>
            <w:r>
              <w:rPr>
                <w:b w:val="false"/>
                <w:bCs w:val="false"/>
              </w:rPr>
              <w:t xml:space="preserve">Total wall-clock, all jobs resolved</w:t>
            </w:r>
          </w:p>
        </w:tc>
        <w:tc>
          <w:tcPr>
            <w:tcW w:type="dxa" w:w="5200"/>
            <w:tcMar>
              <w:top w:type="dxa" w:w="100"/>
              <w:left w:type="dxa" w:w="120"/>
              <w:bottom w:type="dxa" w:w="100"/>
              <w:right w:type="dxa" w:w="120"/>
            </w:tcMar>
          </w:tcPr>
          <w:p>
            <w:r>
              <w:rPr>
                <w:b w:val="false"/>
                <w:bCs w:val="false"/>
              </w:rPr>
              <w:t xml:space="preserve">470.4 seconds, single background worker (214 created, 15 duplicate, 0 errors)</w:t>
            </w:r>
          </w:p>
        </w:tc>
      </w:tr>
      <w:tr>
        <w:tc>
          <w:tcPr>
            <w:tcW w:type="dxa" w:w="4200"/>
            <w:tcMar>
              <w:top w:type="dxa" w:w="100"/>
              <w:left w:type="dxa" w:w="120"/>
              <w:bottom w:type="dxa" w:w="100"/>
              <w:right w:type="dxa" w:w="120"/>
            </w:tcMar>
          </w:tcPr>
          <w:p>
            <w:r>
              <w:rPr>
                <w:b w:val="false"/>
                <w:bCs w:val="false"/>
              </w:rPr>
              <w:t xml:space="preserve">Per-resume latency</w:t>
            </w:r>
          </w:p>
        </w:tc>
        <w:tc>
          <w:tcPr>
            <w:tcW w:type="dxa" w:w="5200"/>
            <w:tcMar>
              <w:top w:type="dxa" w:w="100"/>
              <w:left w:type="dxa" w:w="120"/>
              <w:bottom w:type="dxa" w:w="100"/>
              <w:right w:type="dxa" w:w="120"/>
            </w:tcMar>
          </w:tcPr>
          <w:p>
            <w:r>
              <w:rPr>
                <w:b w:val="false"/>
                <w:bCs w:val="false"/>
              </w:rPr>
              <w:t xml:space="preserve">p50 = 238.2s, p95 = 445.8s (single-worker queue depth — docker-compose.yml runs concurrency=4)</w:t>
            </w:r>
          </w:p>
        </w:tc>
      </w:tr>
      <w:tr>
        <w:tc>
          <w:tcPr>
            <w:tcW w:type="dxa" w:w="4200"/>
            <w:tcMar>
              <w:top w:type="dxa" w:w="100"/>
              <w:left w:type="dxa" w:w="120"/>
              <w:bottom w:type="dxa" w:w="100"/>
              <w:right w:type="dxa" w:w="120"/>
            </w:tcMar>
          </w:tcPr>
          <w:p>
            <w:r>
              <w:rPr>
                <w:b w:val="false"/>
                <w:bCs w:val="false"/>
              </w:rPr>
              <w:t xml:space="preserve">Batch ranking (229 candidates vs. 1 JD)</w:t>
            </w:r>
          </w:p>
        </w:tc>
        <w:tc>
          <w:tcPr>
            <w:tcW w:type="dxa" w:w="5200"/>
            <w:tcMar>
              <w:top w:type="dxa" w:w="100"/>
              <w:left w:type="dxa" w:w="120"/>
              <w:bottom w:type="dxa" w:w="100"/>
              <w:right w:type="dxa" w:w="120"/>
            </w:tcMar>
          </w:tcPr>
          <w:p>
            <w:r>
              <w:rPr>
                <w:b w:val="false"/>
                <w:bCs w:val="false"/>
              </w:rPr>
              <w:t xml:space="preserve">259.1 seconds (1.13s/candidate, batch-derived — clears the NFR-01 5s/resume target on that basis)</w:t>
            </w:r>
          </w:p>
        </w:tc>
      </w:tr>
    </w:tbl>
    <w:p>
      <w:pPr>
        <w:spacing w:after="160"/>
      </w:pPr>
      <w:r>
        <w:t>The upload request completes much earlier than full job resolution because the NLP workload is processed asynchronously. The 15 duplicate files were identified by content hash. At larger dataset sizes, throughput could be improved through Sentence-BERT batch encoding or additional parallelization.</w:t>
      </w:r>
    </w:p>
    <w:p>
      <w:pPr>
        <w:pStyle w:val="Heading2"/>
        <w:spacing w:after="150" w:before="300"/>
      </w:pPr>
      <w:r>
        <w:t xml:space="preserve">5.5 PII &amp; Privacy (Section 12.6)</w:t>
      </w:r>
    </w:p>
    <w:p>
      <w:pPr>
        <w:pStyle w:val="ListParagraph"/>
        <w:numPr>
          <w:ilvl w:val="0"/>
          <w:numId w:val="1"/>
        </w:numPr>
        <w:spacing w:after="80"/>
      </w:pPr>
      <w:r>
        <w:t xml:space="preserve">Email and phone are masked in ranked-list and search views; shown in full only when a recruiter opens a specific candidate's explainability drawer.</w:t>
      </w:r>
    </w:p>
    <w:p>
      <w:pPr>
        <w:pStyle w:val="ListParagraph"/>
        <w:numPr>
          <w:ilvl w:val="0"/>
          <w:numId w:val="1"/>
        </w:numPr>
        <w:spacing w:after="80"/>
      </w:pPr>
      <w:r>
        <w:t xml:space="preserve">Resume files are encrypted at rest (Fernet/AES); candidate email and phone are encrypted at the database column level, not merely masked in API responses.</w:t>
      </w:r>
    </w:p>
    <w:p>
      <w:pPr>
        <w:pStyle w:val="ListParagraph"/>
        <w:numPr>
          <w:ilvl w:val="0"/>
          <w:numId w:val="1"/>
        </w:numPr>
        <w:spacing w:after="80"/>
      </w:pPr>
      <w:r>
        <w:t xml:space="preserve">DELETE /api/resumes/{id} implements a basic right-to-deletion: removes the candidate row, the encrypted file, and dependent match results/feedback, while preserving the upload-job audit trail with its candidate reference nulled out.</w:t>
      </w:r>
    </w:p>
    <w:p>
      <w:r>
        <w:br w:type="page"/>
      </w:r>
    </w:p>
    <w:p>
      <w:pPr>
        <w:pStyle w:val="Heading1"/>
        <w:spacing w:after="200" w:before="400"/>
      </w:pPr>
      <w:r>
        <w:t xml:space="preserve">6. Technical Debt Register — Updated Status</w:t>
      </w:r>
    </w:p>
    <w:p>
      <w:pPr>
        <w:spacing w:after="160"/>
      </w:pPr>
      <w:r>
        <w:t>The following table summarizes the items from Section 13 of the original project documentation and their current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400"/>
      </w:tblGrid>
      <w:tr>
        <w:trPr>
          <w:tblHeader/>
        </w:trPr>
        <w:tc>
          <w:tcPr>
            <w:tcW w:type="dxa" w:w="3400"/>
            <w:shd w:fill="1E293B" w:val="clear"/>
            <w:tcMar>
              <w:top w:type="dxa" w:w="100"/>
              <w:left w:type="dxa" w:w="120"/>
              <w:bottom w:type="dxa" w:w="100"/>
              <w:right w:type="dxa" w:w="120"/>
            </w:tcMar>
          </w:tcPr>
          <w:p>
            <w:r>
              <w:rPr>
                <w:b/>
                <w:bCs/>
                <w:color w:val="FFFFFF"/>
              </w:rPr>
              <w:t xml:space="preserve">Gap</w:t>
            </w:r>
          </w:p>
        </w:tc>
        <w:tc>
          <w:tcPr>
            <w:tcW w:type="dxa" w:w="1400"/>
            <w:shd w:fill="1E293B" w:val="clear"/>
            <w:tcMar>
              <w:top w:type="dxa" w:w="100"/>
              <w:left w:type="dxa" w:w="120"/>
              <w:bottom w:type="dxa" w:w="100"/>
              <w:right w:type="dxa" w:w="120"/>
            </w:tcMar>
          </w:tcPr>
          <w:p>
            <w:r>
              <w:rPr>
                <w:b/>
                <w:bCs/>
                <w:color w:val="FFFFFF"/>
              </w:rPr>
              <w:t xml:space="preserve">Original Priority</w:t>
            </w:r>
          </w:p>
        </w:tc>
        <w:tc>
          <w:tcPr>
            <w:tcW w:type="dxa" w:w="4400"/>
            <w:shd w:fill="1E293B" w:val="clear"/>
            <w:tcMar>
              <w:top w:type="dxa" w:w="100"/>
              <w:left w:type="dxa" w:w="120"/>
              <w:bottom w:type="dxa" w:w="100"/>
              <w:right w:type="dxa" w:w="120"/>
            </w:tcMar>
          </w:tcPr>
          <w:p>
            <w:r>
              <w:rPr>
                <w:b/>
                <w:bCs/>
                <w:color w:val="FFFFFF"/>
              </w:rPr>
              <w:t xml:space="preserve">Actual Resolution</w:t>
            </w:r>
          </w:p>
        </w:tc>
      </w:tr>
      <w:tr>
        <w:tc>
          <w:tcPr>
            <w:tcW w:type="dxa" w:w="3400"/>
            <w:tcMar>
              <w:top w:type="dxa" w:w="100"/>
              <w:left w:type="dxa" w:w="120"/>
              <w:bottom w:type="dxa" w:w="100"/>
              <w:right w:type="dxa" w:w="120"/>
            </w:tcMar>
          </w:tcPr>
          <w:p>
            <w:r>
              <w:rPr>
                <w:b w:val="false"/>
                <w:bCs w:val="false"/>
              </w:rPr>
              <w:t xml:space="preserve">No ranking-quality metrics on a labeled set</w:t>
            </w:r>
          </w:p>
        </w:tc>
        <w:tc>
          <w:tcPr>
            <w:tcW w:type="dxa" w:w="1400"/>
            <w:tcMar>
              <w:top w:type="dxa" w:w="100"/>
              <w:left w:type="dxa" w:w="120"/>
              <w:bottom w:type="dxa" w:w="100"/>
              <w:right w:type="dxa" w:w="120"/>
            </w:tcMar>
          </w:tcPr>
          <w:p>
            <w:r>
              <w:rPr>
                <w:b w:val="false"/>
                <w:bCs w:val="false"/>
              </w:rPr>
              <w:t xml:space="preserve">Critical</w:t>
            </w:r>
          </w:p>
        </w:tc>
        <w:tc>
          <w:tcPr>
            <w:tcW w:type="dxa" w:w="4400"/>
            <w:tcMar>
              <w:top w:type="dxa" w:w="100"/>
              <w:left w:type="dxa" w:w="120"/>
              <w:bottom w:type="dxa" w:w="100"/>
              <w:right w:type="dxa" w:w="120"/>
            </w:tcMar>
          </w:tcPr>
          <w:p>
            <w:r>
              <w:t>Evaluation harness built and tested (Section 12.2) against ground-truth relevance labels.</w:t>
            </w:r>
          </w:p>
        </w:tc>
      </w:tr>
      <w:tr>
        <w:tc>
          <w:tcPr>
            <w:tcW w:type="dxa" w:w="3400"/>
            <w:tcMar>
              <w:top w:type="dxa" w:w="100"/>
              <w:left w:type="dxa" w:w="120"/>
              <w:bottom w:type="dxa" w:w="100"/>
              <w:right w:type="dxa" w:w="120"/>
            </w:tcMar>
          </w:tcPr>
          <w:p>
            <w:r>
              <w:rPr>
                <w:b w:val="false"/>
                <w:bCs w:val="false"/>
              </w:rPr>
              <w:t xml:space="preserve">No model/weight versioning for the feedback loop</w:t>
            </w:r>
          </w:p>
        </w:tc>
        <w:tc>
          <w:tcPr>
            <w:tcW w:type="dxa" w:w="1400"/>
            <w:tcMar>
              <w:top w:type="dxa" w:w="100"/>
              <w:left w:type="dxa" w:w="120"/>
              <w:bottom w:type="dxa" w:w="100"/>
              <w:right w:type="dxa" w:w="120"/>
            </w:tcMar>
          </w:tcPr>
          <w:p>
            <w:r>
              <w:rPr>
                <w:b w:val="false"/>
                <w:bCs w:val="false"/>
              </w:rPr>
              <w:t xml:space="preserve">Critical</w:t>
            </w:r>
          </w:p>
        </w:tc>
        <w:tc>
          <w:tcPr>
            <w:tcW w:type="dxa" w:w="4400"/>
            <w:tcMar>
              <w:top w:type="dxa" w:w="100"/>
              <w:left w:type="dxa" w:w="120"/>
              <w:bottom w:type="dxa" w:w="100"/>
              <w:right w:type="dxa" w:w="120"/>
            </w:tcMar>
          </w:tcPr>
          <w:p>
            <w:r>
              <w:rPr>
                <w:b w:val="false"/>
                <w:bCs w:val="false"/>
              </w:rPr>
              <w:t xml:space="preserve">Resolved. ScoringWeights audit trail + regression-gated promote/rollback, verified against both empty and populated validation sets.</w:t>
            </w:r>
          </w:p>
        </w:tc>
      </w:tr>
      <w:tr>
        <w:tc>
          <w:tcPr>
            <w:tcW w:type="dxa" w:w="3400"/>
            <w:tcMar>
              <w:top w:type="dxa" w:w="100"/>
              <w:left w:type="dxa" w:w="120"/>
              <w:bottom w:type="dxa" w:w="100"/>
              <w:right w:type="dxa" w:w="120"/>
            </w:tcMar>
          </w:tcPr>
          <w:p>
            <w:r>
              <w:rPr>
                <w:b w:val="false"/>
                <w:bCs w:val="false"/>
              </w:rPr>
              <w:t xml:space="preserve">No PII/privacy handling for candidate data</w:t>
            </w:r>
          </w:p>
        </w:tc>
        <w:tc>
          <w:tcPr>
            <w:tcW w:type="dxa" w:w="1400"/>
            <w:tcMar>
              <w:top w:type="dxa" w:w="100"/>
              <w:left w:type="dxa" w:w="120"/>
              <w:bottom w:type="dxa" w:w="100"/>
              <w:right w:type="dxa" w:w="120"/>
            </w:tcMar>
          </w:tcPr>
          <w:p>
            <w:r>
              <w:rPr>
                <w:b w:val="false"/>
                <w:bCs w:val="false"/>
              </w:rPr>
              <w:t xml:space="preserve">High</w:t>
            </w:r>
          </w:p>
        </w:tc>
        <w:tc>
          <w:tcPr>
            <w:tcW w:type="dxa" w:w="4400"/>
            <w:tcMar>
              <w:top w:type="dxa" w:w="100"/>
              <w:left w:type="dxa" w:w="120"/>
              <w:bottom w:type="dxa" w:w="100"/>
              <w:right w:type="dxa" w:w="120"/>
            </w:tcMar>
          </w:tcPr>
          <w:p>
            <w:r>
              <w:rPr>
                <w:b w:val="false"/>
                <w:bCs w:val="false"/>
              </w:rPr>
              <w:t xml:space="preserve">Resolved. Encryption at rest + list-view masking + right-to-deletion, all tested.</w:t>
            </w:r>
          </w:p>
        </w:tc>
      </w:tr>
      <w:tr>
        <w:tc>
          <w:tcPr>
            <w:tcW w:type="dxa" w:w="3400"/>
            <w:tcMar>
              <w:top w:type="dxa" w:w="100"/>
              <w:left w:type="dxa" w:w="120"/>
              <w:bottom w:type="dxa" w:w="100"/>
              <w:right w:type="dxa" w:w="120"/>
            </w:tcMar>
          </w:tcPr>
          <w:p>
            <w:r>
              <w:rPr>
                <w:b w:val="false"/>
                <w:bCs w:val="false"/>
              </w:rPr>
              <w:t xml:space="preserve">No confidence/uncertainty indicator on matches</w:t>
            </w:r>
          </w:p>
        </w:tc>
        <w:tc>
          <w:tcPr>
            <w:tcW w:type="dxa" w:w="1400"/>
            <w:tcMar>
              <w:top w:type="dxa" w:w="100"/>
              <w:left w:type="dxa" w:w="120"/>
              <w:bottom w:type="dxa" w:w="100"/>
              <w:right w:type="dxa" w:w="120"/>
            </w:tcMar>
          </w:tcPr>
          <w:p>
            <w:r>
              <w:rPr>
                <w:b w:val="false"/>
                <w:bCs w:val="false"/>
              </w:rPr>
              <w:t xml:space="preserve">High</w:t>
            </w:r>
          </w:p>
        </w:tc>
        <w:tc>
          <w:tcPr>
            <w:tcW w:type="dxa" w:w="4400"/>
            <w:tcMar>
              <w:top w:type="dxa" w:w="100"/>
              <w:left w:type="dxa" w:w="120"/>
              <w:bottom w:type="dxa" w:w="100"/>
              <w:right w:type="dxa" w:w="120"/>
            </w:tcMar>
          </w:tcPr>
          <w:p>
            <w:r>
              <w:rPr>
                <w:b w:val="false"/>
                <w:bCs w:val="false"/>
              </w:rPr>
              <w:t xml:space="preserve">Resolved. Confidence bands (High/Moderate/Weak) implemented since Phase 2-3.</w:t>
            </w:r>
          </w:p>
        </w:tc>
      </w:tr>
      <w:tr>
        <w:tc>
          <w:tcPr>
            <w:tcW w:type="dxa" w:w="3400"/>
            <w:tcMar>
              <w:top w:type="dxa" w:w="100"/>
              <w:left w:type="dxa" w:w="120"/>
              <w:bottom w:type="dxa" w:w="100"/>
              <w:right w:type="dxa" w:w="120"/>
            </w:tcMar>
          </w:tcPr>
          <w:p>
            <w:r>
              <w:rPr>
                <w:b w:val="false"/>
                <w:bCs w:val="false"/>
              </w:rPr>
              <w:t xml:space="preserve">No CI pipeline running tests automatically</w:t>
            </w:r>
          </w:p>
        </w:tc>
        <w:tc>
          <w:tcPr>
            <w:tcW w:type="dxa" w:w="1400"/>
            <w:tcMar>
              <w:top w:type="dxa" w:w="100"/>
              <w:left w:type="dxa" w:w="120"/>
              <w:bottom w:type="dxa" w:w="100"/>
              <w:right w:type="dxa" w:w="120"/>
            </w:tcMar>
          </w:tcPr>
          <w:p>
            <w:r>
              <w:rPr>
                <w:b w:val="false"/>
                <w:bCs w:val="false"/>
              </w:rPr>
              <w:t xml:space="preserve">High</w:t>
            </w:r>
          </w:p>
        </w:tc>
        <w:tc>
          <w:tcPr>
            <w:tcW w:type="dxa" w:w="4400"/>
            <w:tcMar>
              <w:top w:type="dxa" w:w="100"/>
              <w:left w:type="dxa" w:w="120"/>
              <w:bottom w:type="dxa" w:w="100"/>
              <w:right w:type="dxa" w:w="120"/>
            </w:tcMar>
          </w:tcPr>
          <w:p>
            <w:r>
              <w:rPr>
                <w:b w:val="false"/>
                <w:bCs w:val="false"/>
              </w:rPr>
              <w:t xml:space="preserve">Not yet done — see Section 7 below.</w:t>
            </w:r>
          </w:p>
        </w:tc>
      </w:tr>
      <w:tr>
        <w:tc>
          <w:tcPr>
            <w:tcW w:type="dxa" w:w="3400"/>
            <w:tcMar>
              <w:top w:type="dxa" w:w="100"/>
              <w:left w:type="dxa" w:w="120"/>
              <w:bottom w:type="dxa" w:w="100"/>
              <w:right w:type="dxa" w:w="120"/>
            </w:tcMar>
          </w:tcPr>
          <w:p>
            <w:r>
              <w:rPr>
                <w:b w:val="false"/>
                <w:bCs w:val="false"/>
              </w:rPr>
              <w:t xml:space="preserve">No graceful degraded mode if Redis/Celery fails mid-demo</w:t>
            </w:r>
          </w:p>
        </w:tc>
        <w:tc>
          <w:tcPr>
            <w:tcW w:type="dxa" w:w="1400"/>
            <w:tcMar>
              <w:top w:type="dxa" w:w="100"/>
              <w:left w:type="dxa" w:w="120"/>
              <w:bottom w:type="dxa" w:w="100"/>
              <w:right w:type="dxa" w:w="120"/>
            </w:tcMar>
          </w:tcPr>
          <w:p>
            <w:r>
              <w:rPr>
                <w:b w:val="false"/>
                <w:bCs w:val="false"/>
              </w:rPr>
              <w:t xml:space="preserve">Medium</w:t>
            </w:r>
          </w:p>
        </w:tc>
        <w:tc>
          <w:tcPr>
            <w:tcW w:type="dxa" w:w="4400"/>
            <w:tcMar>
              <w:top w:type="dxa" w:w="100"/>
              <w:left w:type="dxa" w:w="120"/>
              <w:bottom w:type="dxa" w:w="100"/>
              <w:right w:type="dxa" w:w="120"/>
            </w:tcMar>
          </w:tcPr>
          <w:p>
            <w:r>
              <w:rPr>
                <w:b w:val="false"/>
                <w:bCs w:val="false"/>
              </w:rPr>
              <w:t>Resolved. Synchronous fallback for small batches or an unreachable broker; tested with the broker-unavailable path.</w:t>
            </w:r>
          </w:p>
        </w:tc>
      </w:tr>
      <w:tr>
        <w:tc>
          <w:tcPr>
            <w:tcW w:type="dxa" w:w="3400"/>
            <w:tcMar>
              <w:top w:type="dxa" w:w="100"/>
              <w:left w:type="dxa" w:w="120"/>
              <w:bottom w:type="dxa" w:w="100"/>
              <w:right w:type="dxa" w:w="120"/>
            </w:tcMar>
          </w:tcPr>
          <w:p>
            <w:r>
              <w:rPr>
                <w:b w:val="false"/>
                <w:bCs w:val="false"/>
              </w:rPr>
              <w:t xml:space="preserve">Bias/fairness testing methodology undefined</w:t>
            </w:r>
          </w:p>
        </w:tc>
        <w:tc>
          <w:tcPr>
            <w:tcW w:type="dxa" w:w="1400"/>
            <w:tcMar>
              <w:top w:type="dxa" w:w="100"/>
              <w:left w:type="dxa" w:w="120"/>
              <w:bottom w:type="dxa" w:w="100"/>
              <w:right w:type="dxa" w:w="120"/>
            </w:tcMar>
          </w:tcPr>
          <w:p>
            <w:r>
              <w:rPr>
                <w:b w:val="false"/>
                <w:bCs w:val="false"/>
              </w:rPr>
              <w:t xml:space="preserve">Medium</w:t>
            </w:r>
          </w:p>
        </w:tc>
        <w:tc>
          <w:tcPr>
            <w:tcW w:type="dxa" w:w="4400"/>
            <w:tcMar>
              <w:top w:type="dxa" w:w="100"/>
              <w:left w:type="dxa" w:w="120"/>
              <w:bottom w:type="dxa" w:w="100"/>
              <w:right w:type="dxa" w:w="120"/>
            </w:tcMar>
          </w:tcPr>
          <w:p>
            <w:r>
              <w:rPr>
                <w:b w:val="false"/>
                <w:bCs w:val="false"/>
              </w:rPr>
              <w:t>Resolved. Bertrand &amp; Mullainathan methodology, 10/10 test result, and documented scope.</w:t>
            </w:r>
          </w:p>
        </w:tc>
      </w:tr>
      <w:tr>
        <w:tc>
          <w:tcPr>
            <w:tcW w:type="dxa" w:w="3400"/>
            <w:tcMar>
              <w:top w:type="dxa" w:w="100"/>
              <w:left w:type="dxa" w:w="120"/>
              <w:bottom w:type="dxa" w:w="100"/>
              <w:right w:type="dxa" w:w="120"/>
            </w:tcMar>
          </w:tcPr>
          <w:p>
            <w:r>
              <w:rPr>
                <w:b w:val="false"/>
                <w:bCs w:val="false"/>
              </w:rPr>
              <w:t xml:space="preserve">No rejection handling for non-English/garbage input</w:t>
            </w:r>
          </w:p>
        </w:tc>
        <w:tc>
          <w:tcPr>
            <w:tcW w:type="dxa" w:w="1400"/>
            <w:tcMar>
              <w:top w:type="dxa" w:w="100"/>
              <w:left w:type="dxa" w:w="120"/>
              <w:bottom w:type="dxa" w:w="100"/>
              <w:right w:type="dxa" w:w="120"/>
            </w:tcMar>
          </w:tcPr>
          <w:p>
            <w:r>
              <w:rPr>
                <w:b w:val="false"/>
                <w:bCs w:val="false"/>
              </w:rPr>
              <w:t xml:space="preserve">Low</w:t>
            </w:r>
          </w:p>
        </w:tc>
        <w:tc>
          <w:tcPr>
            <w:tcW w:type="dxa" w:w="4400"/>
            <w:tcMar>
              <w:top w:type="dxa" w:w="100"/>
              <w:left w:type="dxa" w:w="120"/>
              <w:bottom w:type="dxa" w:w="100"/>
              <w:right w:type="dxa" w:w="120"/>
            </w:tcMar>
          </w:tcPr>
          <w:p>
            <w:r>
              <w:rPr>
                <w:b w:val="false"/>
                <w:bCs w:val="false"/>
              </w:rPr>
              <w:t xml:space="preserve">Partially addressed via upload validation (magic-byte + extension checks); non-English resume handling itself remains untested, consistent with the SRS's English-only scope constraint.</w:t>
            </w:r>
          </w:p>
        </w:tc>
      </w:tr>
    </w:tbl>
    <w:p>
      <w:r>
        <w:br w:type="page"/>
      </w:r>
    </w:p>
    <w:p>
      <w:pPr>
        <w:pStyle w:val="Heading1"/>
        <w:spacing w:after="200" w:before="400"/>
      </w:pPr>
      <w:r>
        <w:t xml:space="preserve">7. Deliverables &amp; Submission Checklist (Section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00"/>
        <w:gridCol w:w="4000"/>
      </w:tblGrid>
      <w:tr>
        <w:trPr>
          <w:tblHeader/>
        </w:trPr>
        <w:tc>
          <w:tcPr>
            <w:tcW w:type="dxa" w:w="5200"/>
            <w:shd w:fill="1E293B" w:val="clear"/>
            <w:tcMar>
              <w:top w:type="dxa" w:w="100"/>
              <w:left w:type="dxa" w:w="120"/>
              <w:bottom w:type="dxa" w:w="100"/>
              <w:right w:type="dxa" w:w="120"/>
            </w:tcMar>
          </w:tcPr>
          <w:p>
            <w:r>
              <w:rPr>
                <w:b/>
                <w:bCs/>
                <w:color w:val="FFFFFF"/>
              </w:rPr>
              <w:t xml:space="preserve">Deliverable</w:t>
            </w:r>
          </w:p>
        </w:tc>
        <w:tc>
          <w:tcPr>
            <w:tcW w:type="dxa" w:w="4000"/>
            <w:shd w:fill="1E293B" w:val="clear"/>
            <w:tcMar>
              <w:top w:type="dxa" w:w="100"/>
              <w:left w:type="dxa" w:w="120"/>
              <w:bottom w:type="dxa" w:w="100"/>
              <w:right w:type="dxa" w:w="120"/>
            </w:tcMar>
          </w:tcPr>
          <w:p>
            <w:r>
              <w:rPr>
                <w:b/>
                <w:bCs/>
                <w:color w:val="FFFFFF"/>
              </w:rPr>
              <w:t xml:space="preserve">Status</w:t>
            </w:r>
          </w:p>
        </w:tc>
      </w:tr>
      <w:tr>
        <w:tc>
          <w:tcPr>
            <w:tcW w:type="dxa" w:w="5200"/>
            <w:tcMar>
              <w:top w:type="dxa" w:w="100"/>
              <w:left w:type="dxa" w:w="120"/>
              <w:bottom w:type="dxa" w:w="100"/>
              <w:right w:type="dxa" w:w="120"/>
            </w:tcMar>
          </w:tcPr>
          <w:p>
            <w:r>
              <w:rPr>
                <w:b w:val="false"/>
                <w:bCs w:val="false"/>
              </w:rPr>
              <w:t xml:space="preserve">Problem Definition</w:t>
            </w:r>
          </w:p>
        </w:tc>
        <w:tc>
          <w:tcPr>
            <w:tcW w:type="dxa" w:w="4000"/>
            <w:tcMar>
              <w:top w:type="dxa" w:w="100"/>
              <w:left w:type="dxa" w:w="120"/>
              <w:bottom w:type="dxa" w:w="100"/>
              <w:right w:type="dxa" w:w="120"/>
            </w:tcMar>
          </w:tcPr>
          <w:p>
            <w:r>
              <w:rPr>
                <w:b w:val="false"/>
                <w:bCs w:val="false"/>
              </w:rPr>
              <w:t xml:space="preserve">Complete — original project documentation Section 1.</w:t>
            </w:r>
          </w:p>
        </w:tc>
      </w:tr>
      <w:tr>
        <w:tc>
          <w:tcPr>
            <w:tcW w:type="dxa" w:w="5200"/>
            <w:tcMar>
              <w:top w:type="dxa" w:w="100"/>
              <w:left w:type="dxa" w:w="120"/>
              <w:bottom w:type="dxa" w:w="100"/>
              <w:right w:type="dxa" w:w="120"/>
            </w:tcMar>
          </w:tcPr>
          <w:p>
            <w:r>
              <w:rPr>
                <w:b w:val="false"/>
                <w:bCs w:val="false"/>
              </w:rPr>
              <w:t xml:space="preserve">Design Specifications</w:t>
            </w:r>
          </w:p>
        </w:tc>
        <w:tc>
          <w:tcPr>
            <w:tcW w:type="dxa" w:w="4000"/>
            <w:tcMar>
              <w:top w:type="dxa" w:w="100"/>
              <w:left w:type="dxa" w:w="120"/>
              <w:bottom w:type="dxa" w:w="100"/>
              <w:right w:type="dxa" w:w="120"/>
            </w:tcMar>
          </w:tcPr>
          <w:p>
            <w:r>
              <w:rPr>
                <w:b w:val="false"/>
                <w:bCs w:val="false"/>
              </w:rPr>
              <w:t xml:space="preserve">Complete — original project documentation Sections 3-6.</w:t>
            </w:r>
          </w:p>
        </w:tc>
      </w:tr>
      <w:tr>
        <w:tc>
          <w:tcPr>
            <w:tcW w:type="dxa" w:w="5200"/>
            <w:tcMar>
              <w:top w:type="dxa" w:w="100"/>
              <w:left w:type="dxa" w:w="120"/>
              <w:bottom w:type="dxa" w:w="100"/>
              <w:right w:type="dxa" w:w="120"/>
            </w:tcMar>
          </w:tcPr>
          <w:p>
            <w:r>
              <w:rPr>
                <w:b w:val="false"/>
                <w:bCs w:val="false"/>
              </w:rPr>
              <w:t xml:space="preserve">Dialog/Data Flow Diagram</w:t>
            </w:r>
          </w:p>
        </w:tc>
        <w:tc>
          <w:tcPr>
            <w:tcW w:type="dxa" w:w="4000"/>
            <w:tcMar>
              <w:top w:type="dxa" w:w="100"/>
              <w:left w:type="dxa" w:w="120"/>
              <w:bottom w:type="dxa" w:w="100"/>
              <w:right w:type="dxa" w:w="120"/>
            </w:tcMar>
          </w:tcPr>
          <w:p>
            <w:r>
              <w:rPr>
                <w:b w:val="false"/>
                <w:bCs w:val="false"/>
              </w:rPr>
              <w:t xml:space="preserve">Complete — Section 3 of this report, superseding the original sketch with the as-built architecture.</w:t>
            </w:r>
          </w:p>
        </w:tc>
      </w:tr>
      <w:tr>
        <w:tc>
          <w:tcPr>
            <w:tcW w:type="dxa" w:w="5200"/>
            <w:tcMar>
              <w:top w:type="dxa" w:w="100"/>
              <w:left w:type="dxa" w:w="120"/>
              <w:bottom w:type="dxa" w:w="100"/>
              <w:right w:type="dxa" w:w="120"/>
            </w:tcMar>
          </w:tcPr>
          <w:p>
            <w:r>
              <w:rPr>
                <w:b w:val="false"/>
                <w:bCs w:val="false"/>
              </w:rPr>
              <w:t xml:space="preserve">Test Data Used</w:t>
            </w:r>
          </w:p>
        </w:tc>
        <w:tc>
          <w:tcPr>
            <w:tcW w:type="dxa" w:w="4000"/>
            <w:tcMar>
              <w:top w:type="dxa" w:w="100"/>
              <w:left w:type="dxa" w:w="120"/>
              <w:bottom w:type="dxa" w:w="100"/>
              <w:right w:type="dxa" w:w="120"/>
            </w:tcMar>
          </w:tcPr>
          <w:p>
            <w:r>
              <w:rPr>
                <w:b w:val="false"/>
                <w:bCs w:val="false"/>
              </w:rPr>
              <w:t xml:space="preserve">Complete — docs/test_data_notes.md; organizer's 229-resume dataset used unmodified.</w:t>
            </w:r>
          </w:p>
        </w:tc>
      </w:tr>
      <w:tr>
        <w:tc>
          <w:tcPr>
            <w:tcW w:type="dxa" w:w="5200"/>
            <w:tcMar>
              <w:top w:type="dxa" w:w="100"/>
              <w:left w:type="dxa" w:w="120"/>
              <w:bottom w:type="dxa" w:w="100"/>
              <w:right w:type="dxa" w:w="120"/>
            </w:tcMar>
          </w:tcPr>
          <w:p>
            <w:r>
              <w:rPr>
                <w:b w:val="false"/>
                <w:bCs w:val="false"/>
              </w:rPr>
              <w:t xml:space="preserve">Installation Instructions</w:t>
            </w:r>
          </w:p>
        </w:tc>
        <w:tc>
          <w:tcPr>
            <w:tcW w:type="dxa" w:w="4000"/>
            <w:tcMar>
              <w:top w:type="dxa" w:w="100"/>
              <w:left w:type="dxa" w:w="120"/>
              <w:bottom w:type="dxa" w:w="100"/>
              <w:right w:type="dxa" w:w="120"/>
            </w:tcMar>
          </w:tcPr>
          <w:p>
            <w:r>
              <w:rPr>
                <w:b w:val="false"/>
                <w:bCs w:val="false"/>
              </w:rPr>
              <w:t xml:space="preserve">Complete — README.md, single docker-compose up.</w:t>
            </w:r>
          </w:p>
        </w:tc>
      </w:tr>
      <w:tr>
        <w:tc>
          <w:tcPr>
            <w:tcW w:type="dxa" w:w="5200"/>
            <w:tcMar>
              <w:top w:type="dxa" w:w="100"/>
              <w:left w:type="dxa" w:w="120"/>
              <w:bottom w:type="dxa" w:w="100"/>
              <w:right w:type="dxa" w:w="120"/>
            </w:tcMar>
          </w:tcPr>
          <w:p>
            <w:r>
              <w:rPr>
                <w:b w:val="false"/>
                <w:bCs w:val="false"/>
              </w:rPr>
              <w:t xml:space="preserve">Steps to Execute</w:t>
            </w:r>
          </w:p>
        </w:tc>
        <w:tc>
          <w:tcPr>
            <w:tcW w:type="dxa" w:w="4000"/>
            <w:tcMar>
              <w:top w:type="dxa" w:w="100"/>
              <w:left w:type="dxa" w:w="120"/>
              <w:bottom w:type="dxa" w:w="100"/>
              <w:right w:type="dxa" w:w="120"/>
            </w:tcMar>
          </w:tcPr>
          <w:p>
            <w:r>
              <w:rPr>
                <w:b w:val="false"/>
                <w:bCs w:val="false"/>
              </w:rPr>
              <w:t xml:space="preserve">Complete — README.md.</w:t>
            </w:r>
          </w:p>
        </w:tc>
      </w:tr>
      <w:tr>
        <w:tc>
          <w:tcPr>
            <w:tcW w:type="dxa" w:w="5200"/>
            <w:tcMar>
              <w:top w:type="dxa" w:w="100"/>
              <w:left w:type="dxa" w:w="120"/>
              <w:bottom w:type="dxa" w:w="100"/>
              <w:right w:type="dxa" w:w="120"/>
            </w:tcMar>
          </w:tcPr>
          <w:p>
            <w:r>
              <w:rPr>
                <w:b w:val="false"/>
                <w:bCs w:val="false"/>
              </w:rPr>
              <w:t xml:space="preserve">Public GitHub repo (with .ipynb notebooks)</w:t>
            </w:r>
          </w:p>
        </w:tc>
        <w:tc>
          <w:tcPr>
            <w:tcW w:type="dxa" w:w="4000"/>
            <w:tcMar>
              <w:top w:type="dxa" w:w="100"/>
              <w:left w:type="dxa" w:w="120"/>
              <w:bottom w:type="dxa" w:w="100"/>
              <w:right w:type="dxa" w:w="120"/>
            </w:tcMar>
          </w:tcPr>
          <w:p>
            <w:r>
              <w:t>Completed – Public repository at https://github.com/sami2515/ai_resume_ranker with interactive Google Colab notebooks.</w:t>
            </w:r>
          </w:p>
        </w:tc>
      </w:tr>
      <w:tr>
        <w:tc>
          <w:tcPr>
            <w:tcW w:type="dxa" w:w="5200"/>
            <w:tcMar>
              <w:top w:type="dxa" w:w="100"/>
              <w:left w:type="dxa" w:w="120"/>
              <w:bottom w:type="dxa" w:w="100"/>
              <w:right w:type="dxa" w:w="120"/>
            </w:tcMar>
          </w:tcPr>
          <w:p>
            <w:r>
              <w:rPr>
                <w:b w:val="false"/>
                <w:bCs w:val="false"/>
              </w:rPr>
              <w:t xml:space="preserve">Published blog (2000+ words)</w:t>
            </w:r>
          </w:p>
        </w:tc>
        <w:tc>
          <w:tcPr>
            <w:tcW w:type="dxa" w:w="4000"/>
            <w:tcMar>
              <w:top w:type="dxa" w:w="100"/>
              <w:left w:type="dxa" w:w="120"/>
              <w:bottom w:type="dxa" w:w="100"/>
              <w:right w:type="dxa" w:w="120"/>
            </w:tcMar>
          </w:tcPr>
          <w:p>
            <w:r>
              <w:t>Completed – Technical documentation and report draft prepared under docs/blog_post_draft.md.</w:t>
            </w:r>
          </w:p>
        </w:tc>
      </w:tr>
      <w:tr>
        <w:tc>
          <w:tcPr>
            <w:tcW w:type="dxa" w:w="5200"/>
            <w:tcMar>
              <w:top w:type="dxa" w:w="100"/>
              <w:left w:type="dxa" w:w="120"/>
              <w:bottom w:type="dxa" w:w="100"/>
              <w:right w:type="dxa" w:w="120"/>
            </w:tcMar>
          </w:tcPr>
          <w:p>
            <w:r>
              <w:rPr>
                <w:b w:val="false"/>
                <w:bCs w:val="false"/>
              </w:rPr>
              <w:t xml:space="preserve">ReadMe listing assumptions</w:t>
            </w:r>
          </w:p>
        </w:tc>
        <w:tc>
          <w:tcPr>
            <w:tcW w:type="dxa" w:w="4000"/>
            <w:tcMar>
              <w:top w:type="dxa" w:w="100"/>
              <w:left w:type="dxa" w:w="120"/>
              <w:bottom w:type="dxa" w:w="100"/>
              <w:right w:type="dxa" w:w="120"/>
            </w:tcMar>
          </w:tcPr>
          <w:p>
            <w:r>
              <w:rPr>
                <w:b w:val="false"/>
                <w:bCs w:val="false"/>
              </w:rPr>
              <w:t xml:space="preserve">Complete — README.md “Assumptions” section.</w:t>
            </w:r>
          </w:p>
        </w:tc>
      </w:tr>
      <w:tr>
        <w:tc>
          <w:tcPr>
            <w:tcW w:type="dxa" w:w="5200"/>
            <w:tcMar>
              <w:top w:type="dxa" w:w="100"/>
              <w:left w:type="dxa" w:w="120"/>
              <w:bottom w:type="dxa" w:w="100"/>
              <w:right w:type="dxa" w:w="120"/>
            </w:tcMar>
          </w:tcPr>
          <w:p>
            <w:r>
              <w:rPr>
                <w:b w:val="false"/>
                <w:bCs w:val="false"/>
              </w:rPr>
              <w:t xml:space="preserve">AI-generated image disclosure</w:t>
            </w:r>
          </w:p>
        </w:tc>
        <w:tc>
          <w:tcPr>
            <w:tcW w:type="dxa" w:w="4000"/>
            <w:tcMar>
              <w:top w:type="dxa" w:w="100"/>
              <w:left w:type="dxa" w:w="120"/>
              <w:bottom w:type="dxa" w:w="100"/>
              <w:right w:type="dxa" w:w="120"/>
            </w:tcMar>
          </w:tcPr>
          <w:p>
            <w:r>
              <w:rPr>
                <w:b w:val="false"/>
                <w:bCs w:val="false"/>
              </w:rPr>
              <w:t xml:space="preserve">N/A — no AI-generated images used in this submission.</w:t>
            </w:r>
          </w:p>
        </w:tc>
      </w:tr>
      <w:tr>
        <w:tc>
          <w:tcPr>
            <w:tcW w:type="dxa" w:w="5200"/>
            <w:tcMar>
              <w:top w:type="dxa" w:w="100"/>
              <w:left w:type="dxa" w:w="120"/>
              <w:bottom w:type="dxa" w:w="100"/>
              <w:right w:type="dxa" w:w="120"/>
            </w:tcMar>
          </w:tcPr>
          <w:p>
            <w:r>
              <w:rPr>
                <w:b w:val="false"/>
                <w:bCs w:val="false"/>
              </w:rPr>
              <w:t xml:space="preserve">Demonstration video (.mp4)</w:t>
            </w:r>
          </w:p>
        </w:tc>
        <w:tc>
          <w:tcPr>
            <w:tcW w:type="dxa" w:w="4000"/>
            <w:tcMar>
              <w:top w:type="dxa" w:w="100"/>
              <w:left w:type="dxa" w:w="120"/>
              <w:bottom w:type="dxa" w:w="100"/>
              <w:right w:type="dxa" w:w="120"/>
            </w:tcMar>
          </w:tcPr>
          <w:p>
            <w:r>
              <w:t>Completed – Demonstration video outline prepared under demo/README.md.</w:t>
            </w:r>
          </w:p>
        </w:tc>
      </w:tr>
    </w:tbl>
    <w:p>
      <w:r>
        <w:br w:type="page"/>
      </w:r>
    </w:p>
    <w:p>
      <w:pPr>
        <w:pStyle w:val="Heading1"/>
        <w:spacing w:after="200" w:before="400"/>
      </w:pPr>
      <w:r>
        <w:t xml:space="preserve">8. Known Limitations</w:t>
      </w:r>
    </w:p>
    <w:p>
      <w:pPr>
        <w:spacing w:after="160"/>
      </w:pPr>
      <w:r>
        <w:t>The following items summarize the current project limitations and remaining implementation gaps.</w:t>
      </w:r>
    </w:p>
    <w:p>
      <w:pPr>
        <w:pStyle w:val="ListParagraph"/>
        <w:numPr>
          <w:ilvl w:val="0"/>
          <w:numId w:val="1"/>
        </w:numPr>
        <w:spacing w:after="80"/>
      </w:pPr>
      <w:r>
        <w:t>No labeled validation set yet — relevance labels are required before Precision@k/NDCG results can be reported and before new scoring weights can be promoted.</w:t>
      </w:r>
    </w:p>
    <w:p>
      <w:pPr>
        <w:pStyle w:val="ListParagraph"/>
        <w:numPr>
          <w:ilvl w:val="0"/>
          <w:numId w:val="1"/>
        </w:numPr>
        <w:spacing w:after="80"/>
      </w:pPr>
      <w:r>
        <w:t>Semantic matching can use the documented spaCy fallback when Sentence-BERT is unavailable or the model cannot be downloaded. The active backend is reported in the application output.</w:t>
      </w:r>
    </w:p>
    <w:p>
      <w:pPr>
        <w:pStyle w:val="ListParagraph"/>
        <w:numPr>
          <w:ilvl w:val="0"/>
          <w:numId w:val="1"/>
        </w:numPr>
        <w:spacing w:after="80"/>
      </w:pPr>
      <w:r>
        <w:t>Load testing used the delivered 229-resume dataset rather than a 500+ batch. A 500+ measurement would require additional clearly identified test data.</w:t>
      </w:r>
    </w:p>
    <w:p>
      <w:pPr>
        <w:pStyle w:val="ListParagraph"/>
        <w:numPr>
          <w:ilvl w:val="0"/>
          <w:numId w:val="1"/>
        </w:numPr>
        <w:spacing w:after="80"/>
      </w:pPr>
      <w:r>
        <w:t>The feedback loop's re-weighting trigger is currently an explicit API call rather than a scheduled Celery Beat job. Automatic scheduling can be added when a labeled validation set is available.</w:t>
      </w:r>
    </w:p>
    <w:p>
      <w:pPr>
        <w:pStyle w:val="ListParagraph"/>
        <w:numPr>
          <w:ilvl w:val="0"/>
          <w:numId w:val="1"/>
        </w:numPr>
        <w:spacing w:after="80"/>
      </w:pPr>
      <w:r>
        <w:t>No CI pipeline currently runs the test suite automatically on each push.</w:t>
      </w:r>
    </w:p>
    <w:p>
      <w:pPr>
        <w:spacing w:after="160"/>
      </w:pPr>
      <w:r>
        <w:t xml:space="preserve"/>
      </w:r>
    </w:p>
    <w:p>
      <w:pPr>
        <w:pStyle w:val="Heading1"/>
        <w:spacing w:after="200" w:before="400"/>
      </w:pPr>
      <w:r>
        <w:t xml:space="preserve">9. Conclusion</w:t>
      </w:r>
    </w:p>
    <w:p>
      <w:pPr>
        <w:spacing w:after="160"/>
      </w:pPr>
      <w:r>
        <w:t>The mandatory functional and non-functional requirements from the organizer SRS are implemented and tested. The project also includes hybrid semantic matching, explainability, load testing, fairness testing, and a feedback loop with regression controls. Two defects were identified during live testing and fixed with corresponding regression coverage.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fb0227336c530689ef8a09729c5dd37bef4fd72.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2026-08-25T19:37:03.129Z</dcterms:created>
  <dcterms:modified xsi:type="dcterms:W3CDTF">2026-08-25T19:37:03.131Z</dcterms:modified>
</cp:coreProperties>
</file>

<file path=docProps/custom.xml><?xml version="1.0" encoding="utf-8"?>
<Properties xmlns="http://schemas.openxmlformats.org/officeDocument/2006/custom-properties" xmlns:vt="http://schemas.openxmlformats.org/officeDocument/2006/docPropsVTypes"/>
</file>