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Policy v2.0 (Active)</w:t>
      </w:r>
    </w:p>
    <w:p>
      <w:r>
        <w:t>Document Title: Expense Policy v2.0 (Active)</w:t>
      </w:r>
    </w:p>
    <w:p>
      <w:r>
        <w:t>Category: Finance | Version: 2.0</w:t>
      </w:r>
    </w:p>
    <w:p>
      <w:r>
        <w:t>SECTION 1: PURPOSE &amp; SCOPE</w:t>
      </w:r>
    </w:p>
    <w:p>
      <w:r>
        <w:t>This document defines mandatory governance standards for Expense Policy v2.0 (Active)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