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7180" w:rsidRDefault="009B227F" w:rsidP="009B227F">
      <w:pPr>
        <w:pStyle w:val="Heading1"/>
      </w:pPr>
      <w:r>
        <w:t xml:space="preserve">Callbacks in </w:t>
      </w:r>
      <w:proofErr w:type="spellStart"/>
      <w:r>
        <w:t>Pascaline</w:t>
      </w:r>
      <w:proofErr w:type="spellEnd"/>
    </w:p>
    <w:p w:rsidR="009B227F" w:rsidRDefault="000348F6" w:rsidP="009B227F">
      <w:r>
        <w:t xml:space="preserve">With the override keyword and option, callbacks become an official part of </w:t>
      </w:r>
      <w:proofErr w:type="spellStart"/>
      <w:r>
        <w:t>Pascaline</w:t>
      </w:r>
      <w:proofErr w:type="spellEnd"/>
      <w:r>
        <w:t xml:space="preserve">. What are the advantages and drawbacks of </w:t>
      </w:r>
      <w:proofErr w:type="spellStart"/>
      <w:r>
        <w:t>defacto</w:t>
      </w:r>
      <w:proofErr w:type="spellEnd"/>
      <w:r>
        <w:t xml:space="preserve"> callbacks, and what is their security?</w:t>
      </w:r>
    </w:p>
    <w:p w:rsidR="000348F6" w:rsidRDefault="000348F6" w:rsidP="000348F6">
      <w:pPr>
        <w:pStyle w:val="Heading2"/>
      </w:pPr>
      <w:r>
        <w:t>Callback security</w:t>
      </w:r>
    </w:p>
    <w:p w:rsidR="000348F6" w:rsidRDefault="000348F6" w:rsidP="009B227F">
      <w:r>
        <w:t xml:space="preserve">In 7185 Pascal, callbacks were </w:t>
      </w:r>
      <w:proofErr w:type="gramStart"/>
      <w:r>
        <w:t>a</w:t>
      </w:r>
      <w:proofErr w:type="gramEnd"/>
      <w:r>
        <w:t xml:space="preserve"> arranged as a </w:t>
      </w:r>
      <w:proofErr w:type="spellStart"/>
      <w:r>
        <w:t>defacto</w:t>
      </w:r>
      <w:proofErr w:type="spellEnd"/>
      <w:r>
        <w:t xml:space="preserve"> extension to the language, effected by assembly language. The ability to pass procedure and </w:t>
      </w:r>
      <w:proofErr w:type="gramStart"/>
      <w:r>
        <w:t>function</w:t>
      </w:r>
      <w:proofErr w:type="gramEnd"/>
      <w:r>
        <w:t xml:space="preserve"> parameters was used, or misused, to pass a pointer to a callback procedure or function. The “misused” part is that the design of 7185 Pascal was such that the procedure or function was called only while the called procedure or function was active. The callback was arranged by </w:t>
      </w:r>
      <w:r w:rsidRPr="000348F6">
        <w:rPr>
          <w:b/>
          <w:i/>
        </w:rPr>
        <w:t>storing</w:t>
      </w:r>
      <w:r>
        <w:t xml:space="preserve"> the procedure or function pointer, then calling it after the enclosing procedure or function had terminated a clear violation of the rules of 7185 Pascal.</w:t>
      </w:r>
    </w:p>
    <w:p w:rsidR="000348F6" w:rsidRDefault="000348F6" w:rsidP="009B227F">
      <w:r>
        <w:t>The issues with such “</w:t>
      </w:r>
      <w:proofErr w:type="gramStart"/>
      <w:r>
        <w:t>do</w:t>
      </w:r>
      <w:proofErr w:type="gramEnd"/>
      <w:r>
        <w:t xml:space="preserve"> it yourself” callbacks were that:</w:t>
      </w:r>
    </w:p>
    <w:p w:rsidR="000348F6" w:rsidRDefault="000348F6" w:rsidP="000348F6">
      <w:pPr>
        <w:pStyle w:val="ListParagraph"/>
        <w:numPr>
          <w:ilvl w:val="0"/>
          <w:numId w:val="2"/>
        </w:numPr>
      </w:pPr>
      <w:r>
        <w:t>The exact framing information of the call was ambiguous</w:t>
      </w:r>
    </w:p>
    <w:p w:rsidR="000348F6" w:rsidRDefault="000348F6" w:rsidP="000348F6">
      <w:pPr>
        <w:pStyle w:val="ListParagraph"/>
        <w:numPr>
          <w:ilvl w:val="0"/>
          <w:numId w:val="2"/>
        </w:numPr>
      </w:pPr>
      <w:r>
        <w:t>Any local variables for the callback procedure/function may or may not be accessible</w:t>
      </w:r>
    </w:p>
    <w:p w:rsidR="000348F6" w:rsidRDefault="000348F6" w:rsidP="000348F6">
      <w:r>
        <w:t>The solution for this was to only use top level procedure and functions as callback targets, which was unenforceable by the compiler.</w:t>
      </w:r>
    </w:p>
    <w:p w:rsidR="000348F6" w:rsidRDefault="000348F6" w:rsidP="000348F6">
      <w:r>
        <w:t xml:space="preserve">In </w:t>
      </w:r>
      <w:proofErr w:type="spellStart"/>
      <w:r>
        <w:t>Pascaline</w:t>
      </w:r>
      <w:proofErr w:type="spellEnd"/>
      <w:r>
        <w:t>, callbacks are an official part of the language, and are provided by the override keyword in both modules and classes.</w:t>
      </w:r>
      <w:r w:rsidR="008E1815">
        <w:t xml:space="preserve"> Because callbacks are stated in static terms, they allow the compiler to enforce the rules of the callback.</w:t>
      </w:r>
    </w:p>
    <w:p w:rsidR="008E1815" w:rsidRDefault="008E1815" w:rsidP="000348F6">
      <w:r>
        <w:t>For modules, an override must be made by top level procedures or functions in another module. This inherently enforces the restriction on use of a local variable during callbacks. Module overrides are more limited than general callbacks, and force any code that defines such a callback to make them global.</w:t>
      </w:r>
    </w:p>
    <w:p w:rsidR="008E1815" w:rsidRDefault="008E1815" w:rsidP="000348F6">
      <w:r>
        <w:t>For objects, the override is more flexible, and can occur inside any level of code. The reason this is possible is that objects are limited to access of global data, and the data within the object. And a pointer to that data is part of the override call.</w:t>
      </w:r>
    </w:p>
    <w:p w:rsidR="008E1815" w:rsidRDefault="008E1815" w:rsidP="008E1815">
      <w:pPr>
        <w:pStyle w:val="Heading2"/>
      </w:pPr>
      <w:r>
        <w:t>A practical callback: events sent to an alternate window handler</w:t>
      </w:r>
    </w:p>
    <w:p w:rsidR="008E1815" w:rsidRDefault="008E1815" w:rsidP="008E1815">
      <w:r>
        <w:t xml:space="preserve">Window handling in </w:t>
      </w:r>
      <w:proofErr w:type="spellStart"/>
      <w:r>
        <w:t>Pascaline</w:t>
      </w:r>
      <w:proofErr w:type="spellEnd"/>
      <w:r>
        <w:t xml:space="preserve"> has the issue that if a widget is to be created, it must specify an event handler performed by an event loop. Since this effectively centralizes </w:t>
      </w:r>
      <w:r w:rsidR="00FC7959">
        <w:t xml:space="preserve">all event handling for the current task, it forces all windows within the task to be handled in that same loop. Although the window manager could well separate out the different windows to different routines based on their window ids, it cannot. That is inherently a callback </w:t>
      </w:r>
      <w:proofErr w:type="spellStart"/>
      <w:r w:rsidR="00FC7959">
        <w:t>mechanisim</w:t>
      </w:r>
      <w:proofErr w:type="spellEnd"/>
      <w:r w:rsidR="00FC7959">
        <w:t>.</w:t>
      </w:r>
    </w:p>
    <w:p w:rsidR="00401A7A" w:rsidRDefault="00401A7A" w:rsidP="008E1815">
      <w:r>
        <w:t xml:space="preserve">The obvious solution to that is to give each </w:t>
      </w:r>
      <w:proofErr w:type="gramStart"/>
      <w:r>
        <w:t>window,</w:t>
      </w:r>
      <w:proofErr w:type="gramEnd"/>
      <w:r>
        <w:t xml:space="preserve"> or a group of windows (say all of the windows in a widget library) their own task. However, this is a heavy solution, and is not really required. Windows management is inherently an event based system, and tasking is most properly done by groups operating within an entire window.</w:t>
      </w:r>
    </w:p>
    <w:p w:rsidR="00FC7959" w:rsidRDefault="00FC7959" w:rsidP="00FC7959">
      <w:pPr>
        <w:pStyle w:val="Heading2"/>
      </w:pPr>
      <w:r>
        <w:lastRenderedPageBreak/>
        <w:t>The module override handler</w:t>
      </w:r>
    </w:p>
    <w:p w:rsidR="00FC7959" w:rsidRDefault="00FC7959" w:rsidP="008E1815">
      <w:r>
        <w:t xml:space="preserve">The idea of a module handling this issue has the advantage of being conceptually simple. Each module that needs to handle its windows separately overrides the event call in the windows manager. What then occurs is a nested chain of callbacks to handle events. The reason is that if module S is a widget handler or library of such, and gets installed under the program P, then S overrides the event call for </w:t>
      </w:r>
      <w:proofErr w:type="spellStart"/>
      <w:r>
        <w:t>winman</w:t>
      </w:r>
      <w:proofErr w:type="spellEnd"/>
      <w:r>
        <w:t xml:space="preserve">. When an </w:t>
      </w:r>
      <w:proofErr w:type="gramStart"/>
      <w:r>
        <w:t>event(</w:t>
      </w:r>
      <w:proofErr w:type="gramEnd"/>
      <w:r>
        <w:t xml:space="preserve">) call from P occurs, then S intercepts that, but immediately passes it down. When the </w:t>
      </w:r>
      <w:proofErr w:type="gramStart"/>
      <w:r>
        <w:t>event(</w:t>
      </w:r>
      <w:proofErr w:type="gramEnd"/>
      <w:r>
        <w:t xml:space="preserve">) call returns, meaning an event has occurred, S gets the event() return information first, and can check it and separate out its own defined Windows. If the window belongs to S, S will service it and return to the </w:t>
      </w:r>
      <w:proofErr w:type="gramStart"/>
      <w:r>
        <w:t>event(</w:t>
      </w:r>
      <w:proofErr w:type="gramEnd"/>
      <w:r>
        <w:t xml:space="preserve">) </w:t>
      </w:r>
      <w:proofErr w:type="spellStart"/>
      <w:r>
        <w:t>downcall</w:t>
      </w:r>
      <w:proofErr w:type="spellEnd"/>
      <w:r>
        <w:t>. If not, S returns the event up to P.</w:t>
      </w:r>
    </w:p>
    <w:p w:rsidR="00FC7959" w:rsidRPr="00EB6875" w:rsidRDefault="00EB6875" w:rsidP="008E1815">
      <w:pPr>
        <w:rPr>
          <w:rFonts w:ascii="Courier New" w:hAnsi="Courier New" w:cs="Courier New"/>
        </w:rPr>
      </w:pPr>
      <w:proofErr w:type="gramStart"/>
      <w:r>
        <w:rPr>
          <w:rFonts w:ascii="Courier New" w:hAnsi="Courier New" w:cs="Courier New"/>
        </w:rPr>
        <w:t>p</w:t>
      </w:r>
      <w:r w:rsidR="00FC7959" w:rsidRPr="00EB6875">
        <w:rPr>
          <w:rFonts w:ascii="Courier New" w:hAnsi="Courier New" w:cs="Courier New"/>
        </w:rPr>
        <w:t>rogram</w:t>
      </w:r>
      <w:proofErr w:type="gramEnd"/>
      <w:r w:rsidR="00FC7959" w:rsidRPr="00EB6875">
        <w:rPr>
          <w:rFonts w:ascii="Courier New" w:hAnsi="Courier New" w:cs="Courier New"/>
        </w:rPr>
        <w:t xml:space="preserve"> p;</w:t>
      </w:r>
    </w:p>
    <w:p w:rsidR="00FC7959" w:rsidRPr="00EB6875" w:rsidRDefault="00EB6875" w:rsidP="008E1815">
      <w:pPr>
        <w:rPr>
          <w:rFonts w:ascii="Courier New" w:hAnsi="Courier New" w:cs="Courier New"/>
        </w:rPr>
      </w:pPr>
      <w:proofErr w:type="gramStart"/>
      <w:r>
        <w:rPr>
          <w:rFonts w:ascii="Courier New" w:hAnsi="Courier New" w:cs="Courier New"/>
        </w:rPr>
        <w:t>b</w:t>
      </w:r>
      <w:r w:rsidR="00FC7959" w:rsidRPr="00EB6875">
        <w:rPr>
          <w:rFonts w:ascii="Courier New" w:hAnsi="Courier New" w:cs="Courier New"/>
        </w:rPr>
        <w:t>egin</w:t>
      </w:r>
      <w:proofErr w:type="gramEnd"/>
    </w:p>
    <w:p w:rsidR="00FC7959" w:rsidRPr="00EB6875" w:rsidRDefault="00FC7959" w:rsidP="008E1815">
      <w:pPr>
        <w:rPr>
          <w:rFonts w:ascii="Courier New" w:hAnsi="Courier New" w:cs="Courier New"/>
        </w:rPr>
      </w:pPr>
      <w:r w:rsidRPr="00EB6875">
        <w:rPr>
          <w:rFonts w:ascii="Courier New" w:hAnsi="Courier New" w:cs="Courier New"/>
        </w:rPr>
        <w:t xml:space="preserve">  </w:t>
      </w:r>
      <w:r w:rsidR="00EB6875">
        <w:rPr>
          <w:rFonts w:ascii="Courier New" w:hAnsi="Courier New" w:cs="Courier New"/>
        </w:rPr>
        <w:t xml:space="preserve"> ...</w:t>
      </w:r>
    </w:p>
    <w:p w:rsidR="00FC7959" w:rsidRPr="00EB6875" w:rsidRDefault="00FC7959" w:rsidP="008E1815">
      <w:pPr>
        <w:rPr>
          <w:rFonts w:ascii="Courier New" w:hAnsi="Courier New" w:cs="Courier New"/>
        </w:rPr>
      </w:pPr>
      <w:r w:rsidRPr="00EB6875">
        <w:rPr>
          <w:rFonts w:ascii="Courier New" w:hAnsi="Courier New" w:cs="Courier New"/>
        </w:rPr>
        <w:t xml:space="preserve">   </w:t>
      </w:r>
      <w:proofErr w:type="gramStart"/>
      <w:r w:rsidR="00EB6875">
        <w:rPr>
          <w:rFonts w:ascii="Courier New" w:hAnsi="Courier New" w:cs="Courier New"/>
        </w:rPr>
        <w:t>r</w:t>
      </w:r>
      <w:r w:rsidRPr="00EB6875">
        <w:rPr>
          <w:rFonts w:ascii="Courier New" w:hAnsi="Courier New" w:cs="Courier New"/>
        </w:rPr>
        <w:t>epeat</w:t>
      </w:r>
      <w:proofErr w:type="gramEnd"/>
      <w:r w:rsidRPr="00EB6875">
        <w:rPr>
          <w:rFonts w:ascii="Courier New" w:hAnsi="Courier New" w:cs="Courier New"/>
        </w:rPr>
        <w:t xml:space="preserve"> event(r) until …</w:t>
      </w:r>
    </w:p>
    <w:p w:rsidR="00FC7959" w:rsidRPr="00EB6875" w:rsidRDefault="00FC7959" w:rsidP="008E1815">
      <w:pPr>
        <w:rPr>
          <w:rFonts w:ascii="Courier New" w:hAnsi="Courier New" w:cs="Courier New"/>
        </w:rPr>
      </w:pPr>
      <w:r w:rsidRPr="00EB6875">
        <w:rPr>
          <w:rFonts w:ascii="Courier New" w:hAnsi="Courier New" w:cs="Courier New"/>
        </w:rPr>
        <w:t xml:space="preserve">  </w:t>
      </w:r>
      <w:r w:rsidR="00EB6875">
        <w:rPr>
          <w:rFonts w:ascii="Courier New" w:hAnsi="Courier New" w:cs="Courier New"/>
        </w:rPr>
        <w:t xml:space="preserve"> ...</w:t>
      </w:r>
    </w:p>
    <w:p w:rsidR="00FC7959" w:rsidRPr="00EB6875" w:rsidRDefault="00FC7959" w:rsidP="008E1815">
      <w:pPr>
        <w:rPr>
          <w:rFonts w:ascii="Courier New" w:hAnsi="Courier New" w:cs="Courier New"/>
        </w:rPr>
      </w:pPr>
      <w:r w:rsidRPr="00EB6875">
        <w:rPr>
          <w:rFonts w:ascii="Courier New" w:hAnsi="Courier New" w:cs="Courier New"/>
        </w:rPr>
        <w:t>End.</w:t>
      </w:r>
    </w:p>
    <w:p w:rsidR="00FC7959" w:rsidRPr="00EB6875" w:rsidRDefault="00EB6875" w:rsidP="008E1815">
      <w:pPr>
        <w:rPr>
          <w:rFonts w:ascii="Courier New" w:hAnsi="Courier New" w:cs="Courier New"/>
        </w:rPr>
      </w:pPr>
      <w:proofErr w:type="gramStart"/>
      <w:r>
        <w:rPr>
          <w:rFonts w:ascii="Courier New" w:hAnsi="Courier New" w:cs="Courier New"/>
        </w:rPr>
        <w:t>m</w:t>
      </w:r>
      <w:r w:rsidR="00FC7959" w:rsidRPr="00EB6875">
        <w:rPr>
          <w:rFonts w:ascii="Courier New" w:hAnsi="Courier New" w:cs="Courier New"/>
        </w:rPr>
        <w:t>odule</w:t>
      </w:r>
      <w:proofErr w:type="gramEnd"/>
      <w:r w:rsidR="00FC7959" w:rsidRPr="00EB6875">
        <w:rPr>
          <w:rFonts w:ascii="Courier New" w:hAnsi="Courier New" w:cs="Courier New"/>
        </w:rPr>
        <w:t xml:space="preserve"> s;</w:t>
      </w:r>
    </w:p>
    <w:p w:rsidR="00FC7959" w:rsidRPr="00EB6875" w:rsidRDefault="00EB6875" w:rsidP="008E1815">
      <w:pPr>
        <w:rPr>
          <w:rFonts w:ascii="Courier New" w:hAnsi="Courier New" w:cs="Courier New"/>
        </w:rPr>
      </w:pPr>
      <w:proofErr w:type="gramStart"/>
      <w:r>
        <w:rPr>
          <w:rFonts w:ascii="Courier New" w:hAnsi="Courier New" w:cs="Courier New"/>
        </w:rPr>
        <w:t>o</w:t>
      </w:r>
      <w:r w:rsidR="00FC7959" w:rsidRPr="00EB6875">
        <w:rPr>
          <w:rFonts w:ascii="Courier New" w:hAnsi="Courier New" w:cs="Courier New"/>
        </w:rPr>
        <w:t>verride</w:t>
      </w:r>
      <w:proofErr w:type="gramEnd"/>
      <w:r w:rsidR="00FC7959" w:rsidRPr="00EB6875">
        <w:rPr>
          <w:rFonts w:ascii="Courier New" w:hAnsi="Courier New" w:cs="Courier New"/>
        </w:rPr>
        <w:t xml:space="preserve"> procedure event(</w:t>
      </w:r>
      <w:r w:rsidRPr="00EB6875">
        <w:rPr>
          <w:rFonts w:ascii="Courier New" w:hAnsi="Courier New" w:cs="Courier New"/>
        </w:rPr>
        <w:t>r</w:t>
      </w:r>
      <w:r w:rsidR="00FC7959" w:rsidRPr="00EB6875">
        <w:rPr>
          <w:rFonts w:ascii="Courier New" w:hAnsi="Courier New" w:cs="Courier New"/>
        </w:rPr>
        <w:t>);</w:t>
      </w:r>
    </w:p>
    <w:p w:rsidR="00FC7959" w:rsidRPr="00EB6875" w:rsidRDefault="00EB6875" w:rsidP="008E1815">
      <w:pPr>
        <w:rPr>
          <w:rFonts w:ascii="Courier New" w:hAnsi="Courier New" w:cs="Courier New"/>
        </w:rPr>
      </w:pPr>
      <w:proofErr w:type="gramStart"/>
      <w:r>
        <w:rPr>
          <w:rFonts w:ascii="Courier New" w:hAnsi="Courier New" w:cs="Courier New"/>
        </w:rPr>
        <w:t>b</w:t>
      </w:r>
      <w:r w:rsidR="00FC7959" w:rsidRPr="00EB6875">
        <w:rPr>
          <w:rFonts w:ascii="Courier New" w:hAnsi="Courier New" w:cs="Courier New"/>
        </w:rPr>
        <w:t>egin</w:t>
      </w:r>
      <w:proofErr w:type="gramEnd"/>
    </w:p>
    <w:p w:rsidR="00EB6875" w:rsidRPr="00EB6875" w:rsidRDefault="00EB6875" w:rsidP="008E1815">
      <w:pPr>
        <w:rPr>
          <w:rFonts w:ascii="Courier New" w:hAnsi="Courier New" w:cs="Courier New"/>
        </w:rPr>
      </w:pPr>
      <w:r w:rsidRPr="00EB6875">
        <w:rPr>
          <w:rFonts w:ascii="Courier New" w:hAnsi="Courier New" w:cs="Courier New"/>
        </w:rPr>
        <w:t xml:space="preserve">   </w:t>
      </w:r>
      <w:proofErr w:type="gramStart"/>
      <w:r w:rsidRPr="00EB6875">
        <w:rPr>
          <w:rFonts w:ascii="Courier New" w:hAnsi="Courier New" w:cs="Courier New"/>
        </w:rPr>
        <w:t>repeat</w:t>
      </w:r>
      <w:proofErr w:type="gramEnd"/>
    </w:p>
    <w:p w:rsidR="00FC7959" w:rsidRPr="00EB6875" w:rsidRDefault="00EB6875" w:rsidP="008E1815">
      <w:pPr>
        <w:rPr>
          <w:rFonts w:ascii="Courier New" w:hAnsi="Courier New" w:cs="Courier New"/>
        </w:rPr>
      </w:pPr>
      <w:r w:rsidRPr="00EB6875">
        <w:rPr>
          <w:rFonts w:ascii="Courier New" w:hAnsi="Courier New" w:cs="Courier New"/>
        </w:rPr>
        <w:t xml:space="preserve">   </w:t>
      </w:r>
      <w:r w:rsidR="00FC7959" w:rsidRPr="00EB6875">
        <w:rPr>
          <w:rFonts w:ascii="Courier New" w:hAnsi="Courier New" w:cs="Courier New"/>
        </w:rPr>
        <w:t xml:space="preserve">   </w:t>
      </w:r>
      <w:proofErr w:type="gramStart"/>
      <w:r>
        <w:rPr>
          <w:rFonts w:ascii="Courier New" w:hAnsi="Courier New" w:cs="Courier New"/>
        </w:rPr>
        <w:t>i</w:t>
      </w:r>
      <w:r w:rsidRPr="00EB6875">
        <w:rPr>
          <w:rFonts w:ascii="Courier New" w:hAnsi="Courier New" w:cs="Courier New"/>
        </w:rPr>
        <w:t>nherited</w:t>
      </w:r>
      <w:proofErr w:type="gramEnd"/>
      <w:r w:rsidRPr="00EB6875">
        <w:rPr>
          <w:rFonts w:ascii="Courier New" w:hAnsi="Courier New" w:cs="Courier New"/>
        </w:rPr>
        <w:t xml:space="preserve"> Event();</w:t>
      </w:r>
    </w:p>
    <w:p w:rsidR="00EB6875" w:rsidRPr="00EB6875" w:rsidRDefault="00EB6875" w:rsidP="008E1815">
      <w:pPr>
        <w:rPr>
          <w:rFonts w:ascii="Courier New" w:hAnsi="Courier New" w:cs="Courier New"/>
        </w:rPr>
      </w:pPr>
      <w:r w:rsidRPr="00EB6875">
        <w:rPr>
          <w:rFonts w:ascii="Courier New" w:hAnsi="Courier New" w:cs="Courier New"/>
        </w:rPr>
        <w:t xml:space="preserve">      </w:t>
      </w:r>
      <w:proofErr w:type="gramStart"/>
      <w:r>
        <w:rPr>
          <w:rFonts w:ascii="Courier New" w:hAnsi="Courier New" w:cs="Courier New"/>
        </w:rPr>
        <w:t>i</w:t>
      </w:r>
      <w:r w:rsidRPr="00EB6875">
        <w:rPr>
          <w:rFonts w:ascii="Courier New" w:hAnsi="Courier New" w:cs="Courier New"/>
        </w:rPr>
        <w:t>f</w:t>
      </w:r>
      <w:proofErr w:type="gramEnd"/>
      <w:r w:rsidRPr="00EB6875">
        <w:rPr>
          <w:rFonts w:ascii="Courier New" w:hAnsi="Courier New" w:cs="Courier New"/>
        </w:rPr>
        <w:t xml:space="preserve"> r.evt in [</w:t>
      </w:r>
      <w:proofErr w:type="spellStart"/>
      <w:r w:rsidRPr="00EB6875">
        <w:rPr>
          <w:rFonts w:ascii="Courier New" w:hAnsi="Courier New" w:cs="Courier New"/>
        </w:rPr>
        <w:t>myevents</w:t>
      </w:r>
      <w:proofErr w:type="spellEnd"/>
      <w:r w:rsidRPr="00EB6875">
        <w:rPr>
          <w:rFonts w:ascii="Courier New" w:hAnsi="Courier New" w:cs="Courier New"/>
        </w:rPr>
        <w:t>] then handle event</w:t>
      </w:r>
    </w:p>
    <w:p w:rsidR="00EB6875" w:rsidRPr="00EB6875" w:rsidRDefault="00EB6875" w:rsidP="008E1815">
      <w:pPr>
        <w:rPr>
          <w:rFonts w:ascii="Courier New" w:hAnsi="Courier New" w:cs="Courier New"/>
        </w:rPr>
      </w:pPr>
      <w:r w:rsidRPr="00EB6875">
        <w:rPr>
          <w:rFonts w:ascii="Courier New" w:hAnsi="Courier New" w:cs="Courier New"/>
        </w:rPr>
        <w:t xml:space="preserve">   </w:t>
      </w:r>
      <w:proofErr w:type="gramStart"/>
      <w:r>
        <w:rPr>
          <w:rFonts w:ascii="Courier New" w:hAnsi="Courier New" w:cs="Courier New"/>
        </w:rPr>
        <w:t>u</w:t>
      </w:r>
      <w:r w:rsidRPr="00EB6875">
        <w:rPr>
          <w:rFonts w:ascii="Courier New" w:hAnsi="Courier New" w:cs="Courier New"/>
        </w:rPr>
        <w:t>ntil</w:t>
      </w:r>
      <w:proofErr w:type="gramEnd"/>
      <w:r w:rsidRPr="00EB6875">
        <w:rPr>
          <w:rFonts w:ascii="Courier New" w:hAnsi="Courier New" w:cs="Courier New"/>
        </w:rPr>
        <w:t xml:space="preserve"> not r.evt in [</w:t>
      </w:r>
      <w:proofErr w:type="spellStart"/>
      <w:r w:rsidRPr="00EB6875">
        <w:rPr>
          <w:rFonts w:ascii="Courier New" w:hAnsi="Courier New" w:cs="Courier New"/>
        </w:rPr>
        <w:t>myevents</w:t>
      </w:r>
      <w:proofErr w:type="spellEnd"/>
      <w:r w:rsidRPr="00EB6875">
        <w:rPr>
          <w:rFonts w:ascii="Courier New" w:hAnsi="Courier New" w:cs="Courier New"/>
        </w:rPr>
        <w:t>]</w:t>
      </w:r>
    </w:p>
    <w:p w:rsidR="00EB6875" w:rsidRPr="00EB6875" w:rsidRDefault="00EB6875" w:rsidP="008E1815">
      <w:pPr>
        <w:rPr>
          <w:rFonts w:ascii="Courier New" w:hAnsi="Courier New" w:cs="Courier New"/>
        </w:rPr>
      </w:pPr>
      <w:proofErr w:type="gramStart"/>
      <w:r>
        <w:rPr>
          <w:rFonts w:ascii="Courier New" w:hAnsi="Courier New" w:cs="Courier New"/>
        </w:rPr>
        <w:t>e</w:t>
      </w:r>
      <w:r w:rsidRPr="00EB6875">
        <w:rPr>
          <w:rFonts w:ascii="Courier New" w:hAnsi="Courier New" w:cs="Courier New"/>
        </w:rPr>
        <w:t>nd</w:t>
      </w:r>
      <w:proofErr w:type="gramEnd"/>
      <w:r w:rsidRPr="00EB6875">
        <w:rPr>
          <w:rFonts w:ascii="Courier New" w:hAnsi="Courier New" w:cs="Courier New"/>
        </w:rPr>
        <w:t>.</w:t>
      </w:r>
    </w:p>
    <w:p w:rsidR="00EB6875" w:rsidRDefault="00EB6875" w:rsidP="008E1815">
      <w:r>
        <w:t>The handling of such events</w:t>
      </w:r>
      <w:r w:rsidR="00074AAC">
        <w:t xml:space="preserve"> can be nested to any level. S1…</w:t>
      </w:r>
      <w:proofErr w:type="spellStart"/>
      <w:r w:rsidR="00074AAC">
        <w:t>Sn</w:t>
      </w:r>
      <w:proofErr w:type="spellEnd"/>
      <w:r w:rsidR="00074AAC">
        <w:t xml:space="preserve"> can all override the </w:t>
      </w:r>
      <w:proofErr w:type="gramStart"/>
      <w:r w:rsidR="00074AAC">
        <w:t>event(</w:t>
      </w:r>
      <w:proofErr w:type="gramEnd"/>
      <w:r w:rsidR="00074AAC">
        <w:t>) call, and the event() calls from P ripple up and down the stack.</w:t>
      </w:r>
    </w:p>
    <w:p w:rsidR="00074AAC" w:rsidRDefault="00074AAC" w:rsidP="007774BD">
      <w:pPr>
        <w:pStyle w:val="Heading2"/>
      </w:pPr>
      <w:r>
        <w:t>The class override handler</w:t>
      </w:r>
    </w:p>
    <w:p w:rsidR="00074AAC" w:rsidRDefault="00074AAC" w:rsidP="008E1815">
      <w:r>
        <w:t xml:space="preserve">Performing this same job with classes is not as conceptually simple, but is more efficient, because it removes the need to ripple up a handler stack. The mechanism is that the handler object is “registered” with </w:t>
      </w:r>
      <w:proofErr w:type="spellStart"/>
      <w:r>
        <w:t>winman</w:t>
      </w:r>
      <w:proofErr w:type="spellEnd"/>
      <w:r>
        <w:t xml:space="preserve"> under the window id, </w:t>
      </w:r>
      <w:proofErr w:type="gramStart"/>
      <w:r>
        <w:t>then</w:t>
      </w:r>
      <w:proofErr w:type="gramEnd"/>
      <w:r>
        <w:t xml:space="preserve"> </w:t>
      </w:r>
      <w:proofErr w:type="spellStart"/>
      <w:r>
        <w:t>winman</w:t>
      </w:r>
      <w:proofErr w:type="spellEnd"/>
      <w:r>
        <w:t xml:space="preserve"> calls it directly, using one of the methods in object. So </w:t>
      </w:r>
      <w:proofErr w:type="spellStart"/>
      <w:r>
        <w:t>winman</w:t>
      </w:r>
      <w:proofErr w:type="spellEnd"/>
      <w:r>
        <w:t xml:space="preserve"> can keep a table of objects </w:t>
      </w:r>
      <w:proofErr w:type="spellStart"/>
      <w:r>
        <w:t>assocated</w:t>
      </w:r>
      <w:proofErr w:type="spellEnd"/>
      <w:r>
        <w:t xml:space="preserve"> with window ids, and even keep a stack of objects registered under each window id.</w:t>
      </w:r>
      <w:r w:rsidR="007774BD">
        <w:t xml:space="preserve"> Then, </w:t>
      </w:r>
      <w:proofErr w:type="spellStart"/>
      <w:r w:rsidR="007774BD">
        <w:t>winman</w:t>
      </w:r>
      <w:proofErr w:type="spellEnd"/>
      <w:r w:rsidR="007774BD">
        <w:t xml:space="preserve"> calls an </w:t>
      </w:r>
      <w:proofErr w:type="gramStart"/>
      <w:r w:rsidR="007774BD">
        <w:t>event(</w:t>
      </w:r>
      <w:proofErr w:type="gramEnd"/>
      <w:r w:rsidR="007774BD">
        <w:t>) method in the target object to service that.</w:t>
      </w:r>
    </w:p>
    <w:p w:rsidR="007774BD" w:rsidRDefault="007774BD" w:rsidP="008E1815">
      <w:r>
        <w:lastRenderedPageBreak/>
        <w:t xml:space="preserve">The conceptual complexity occurs because </w:t>
      </w:r>
      <w:proofErr w:type="spellStart"/>
      <w:r>
        <w:t>winman</w:t>
      </w:r>
      <w:proofErr w:type="spellEnd"/>
      <w:r>
        <w:t xml:space="preserve"> could well call any method in the object. Really, this knocks on the door of the next level of abstraction in </w:t>
      </w:r>
      <w:proofErr w:type="spellStart"/>
      <w:r>
        <w:t>Pascaline</w:t>
      </w:r>
      <w:proofErr w:type="spellEnd"/>
      <w:r>
        <w:t xml:space="preserve">. The object could be </w:t>
      </w:r>
      <w:proofErr w:type="spellStart"/>
      <w:r>
        <w:t>subclassed</w:t>
      </w:r>
      <w:proofErr w:type="spellEnd"/>
      <w:r>
        <w:t xml:space="preserve"> from a base class of “window”, and no longer needs a single call of </w:t>
      </w:r>
      <w:proofErr w:type="gramStart"/>
      <w:r>
        <w:t>event(</w:t>
      </w:r>
      <w:proofErr w:type="gramEnd"/>
      <w:r>
        <w:t>), but can distribute such events via a method for each possible event type.</w:t>
      </w:r>
    </w:p>
    <w:p w:rsidR="007774BD" w:rsidRDefault="007774BD" w:rsidP="008E1815">
      <w:r>
        <w:t xml:space="preserve">Another way of saying this is that the window class not only defines a series of methods used to manipulate windows by </w:t>
      </w:r>
      <w:proofErr w:type="spellStart"/>
      <w:r>
        <w:t>downcalls</w:t>
      </w:r>
      <w:proofErr w:type="spellEnd"/>
      <w:r>
        <w:t xml:space="preserve">, but also defines a series of event </w:t>
      </w:r>
      <w:proofErr w:type="spellStart"/>
      <w:r>
        <w:t>upcalls</w:t>
      </w:r>
      <w:proofErr w:type="spellEnd"/>
      <w:r>
        <w:t xml:space="preserve"> that are initially empty (generate errors if called).  The program that instantiates the window object knows that it must fill out the event methods before activating the window.</w:t>
      </w:r>
    </w:p>
    <w:p w:rsidR="007774BD" w:rsidRDefault="007774BD" w:rsidP="008E1815">
      <w:r>
        <w:t xml:space="preserve">Such a class can be downward compatible. The default definition for each of the event methods could be to call the </w:t>
      </w:r>
      <w:proofErr w:type="gramStart"/>
      <w:r>
        <w:t>event(</w:t>
      </w:r>
      <w:proofErr w:type="gramEnd"/>
      <w:r>
        <w:t xml:space="preserve">) method for the window object with an event record. Thus, the program can override the </w:t>
      </w:r>
      <w:proofErr w:type="gramStart"/>
      <w:r>
        <w:t>event(</w:t>
      </w:r>
      <w:proofErr w:type="gramEnd"/>
      <w:r>
        <w:t>) method only to get called back using the familiar event() formatted call.</w:t>
      </w:r>
    </w:p>
    <w:p w:rsidR="007774BD" w:rsidRPr="008E1815" w:rsidRDefault="007774BD" w:rsidP="008E1815">
      <w:r>
        <w:t xml:space="preserve">The exact complexities and methods of this will become evident as </w:t>
      </w:r>
      <w:proofErr w:type="spellStart"/>
      <w:r>
        <w:t>Pascaline</w:t>
      </w:r>
      <w:proofErr w:type="spellEnd"/>
      <w:r>
        <w:t xml:space="preserve"> gains more use. However, </w:t>
      </w:r>
      <w:r w:rsidR="00401A7A">
        <w:t xml:space="preserve">it is clear that </w:t>
      </w:r>
      <w:proofErr w:type="spellStart"/>
      <w:r w:rsidR="00401A7A">
        <w:t>Pascaline</w:t>
      </w:r>
      <w:proofErr w:type="spellEnd"/>
      <w:r w:rsidR="00401A7A">
        <w:t xml:space="preserve"> has new solutions to old problems going forward.</w:t>
      </w:r>
    </w:p>
    <w:sectPr w:rsidR="007774BD" w:rsidRPr="008E1815" w:rsidSect="000B718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D63A9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nsid w:val="556834D4"/>
    <w:multiLevelType w:val="hybridMultilevel"/>
    <w:tmpl w:val="BAE6B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9B227F"/>
    <w:rsid w:val="000348F6"/>
    <w:rsid w:val="00074AAC"/>
    <w:rsid w:val="000B7180"/>
    <w:rsid w:val="002324E2"/>
    <w:rsid w:val="00401A7A"/>
    <w:rsid w:val="00685251"/>
    <w:rsid w:val="007774BD"/>
    <w:rsid w:val="00884D1E"/>
    <w:rsid w:val="008E1815"/>
    <w:rsid w:val="009B227F"/>
    <w:rsid w:val="00B4144F"/>
    <w:rsid w:val="00EB6875"/>
    <w:rsid w:val="00EC1224"/>
    <w:rsid w:val="00F23D5B"/>
    <w:rsid w:val="00FC79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180"/>
  </w:style>
  <w:style w:type="paragraph" w:styleId="Heading1">
    <w:name w:val="heading 1"/>
    <w:basedOn w:val="Normal"/>
    <w:next w:val="Normal"/>
    <w:link w:val="Heading1Char"/>
    <w:uiPriority w:val="9"/>
    <w:qFormat/>
    <w:rsid w:val="009B227F"/>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B227F"/>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B227F"/>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B227F"/>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B227F"/>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B227F"/>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B227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B227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B227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27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B227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B227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B227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B227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B227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B227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B227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B227F"/>
    <w:rPr>
      <w:rFonts w:asciiTheme="majorHAnsi" w:eastAsiaTheme="majorEastAsia" w:hAnsiTheme="majorHAnsi" w:cstheme="majorBidi"/>
      <w:i/>
      <w:iCs/>
      <w:color w:val="404040" w:themeColor="text1" w:themeTint="BF"/>
      <w:sz w:val="20"/>
      <w:szCs w:val="20"/>
    </w:rPr>
  </w:style>
  <w:style w:type="paragraph" w:styleId="DocumentMap">
    <w:name w:val="Document Map"/>
    <w:basedOn w:val="Normal"/>
    <w:link w:val="DocumentMapChar"/>
    <w:uiPriority w:val="99"/>
    <w:semiHidden/>
    <w:unhideWhenUsed/>
    <w:rsid w:val="009B227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B227F"/>
    <w:rPr>
      <w:rFonts w:ascii="Tahoma" w:hAnsi="Tahoma" w:cs="Tahoma"/>
      <w:sz w:val="16"/>
      <w:szCs w:val="16"/>
    </w:rPr>
  </w:style>
  <w:style w:type="paragraph" w:styleId="ListParagraph">
    <w:name w:val="List Paragraph"/>
    <w:basedOn w:val="Normal"/>
    <w:uiPriority w:val="34"/>
    <w:qFormat/>
    <w:rsid w:val="000348F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Echelon</Company>
  <LinksUpToDate>false</LinksUpToDate>
  <CharactersWithSpaces>5712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Moore</dc:creator>
  <cp:lastModifiedBy>samiam</cp:lastModifiedBy>
  <cp:revision>2</cp:revision>
  <dcterms:created xsi:type="dcterms:W3CDTF">2009-01-16T06:09:00Z</dcterms:created>
  <dcterms:modified xsi:type="dcterms:W3CDTF">2009-01-16T06:09:00Z</dcterms:modified>
</cp:coreProperties>
</file>