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04BEF">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04BEF">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04BEF">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04BEF">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04BEF">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04BEF">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C04BEF">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C04BEF">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04BEF">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04BEF">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04BEF">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04BEF">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C04BEF">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C04BEF">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C04BEF">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C04BEF">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04BEF">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04BEF">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C04BEF">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04BEF">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04BEF">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04BEF">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04BEF">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04BEF">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04BEF">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04BEF">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04BEF">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04BEF">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04BEF">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04BEF">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C04BEF">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C04BEF">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04BEF">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04BEF">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04BEF">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04BEF">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C04BEF">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04BEF">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C04BEF">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C04BEF">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C04BEF">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04BEF">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04BEF">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04BEF">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04BEF">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C04BEF">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C04BEF">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04BEF">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04BEF">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C04BEF">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04BEF">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C04BEF">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C04BEF">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C04BEF">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04BEF">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04BEF">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04BEF">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04BEF">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04BEF">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04BEF">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04BEF">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C04BEF">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04BE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C04BE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04BEF"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C04BEF"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C04BEF"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C04BEF"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4 0 1 1 2</w:t>
      </w:r>
    </w:p>
    <w:p w:rsidR="007A3169" w:rsidRDefault="007A3169" w:rsidP="00117AE9">
      <w:r>
        <w:t>Where x is the label number for the table (used in intermediate codes), 4 is the size of the table, and 4 logical variant values appear, 0, 1, 1, and 2. The first value, 0, is not used and is a placeholder. The table addresses 1 and 2 evaluates to logical variant 1, and the table address 3 evaluates to logical variant 2.</w:t>
      </w:r>
    </w:p>
    <w:p w:rsidR="007A3169" w:rsidRDefault="007A3169" w:rsidP="00117AE9">
      <w:r>
        <w:t>Logical variant numbers are used to disambiguate tag values to actual variant references.</w:t>
      </w:r>
    </w:p>
    <w:p w:rsidR="00C648AE" w:rsidRDefault="00C648AE" w:rsidP="00D333B6">
      <w:pPr>
        <w:pStyle w:val="Heading3"/>
      </w:pPr>
      <w:r>
        <w:lastRenderedPageBreak/>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w:t>
      </w:r>
      <w:bookmarkStart w:id="422" w:name="_GoBack"/>
      <w:bookmarkEnd w:id="422"/>
      <w:r>
        <w:t>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3" w:name="_Toc42729819"/>
      <w:r>
        <w:t>options</w:t>
      </w:r>
      <w:bookmarkEnd w:id="42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4" w:name="_Toc42729820"/>
      <w:r>
        <w:t>global size</w:t>
      </w:r>
      <w:bookmarkEnd w:id="42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5" w:name="_Toc42729821"/>
      <w:r>
        <w:t>Label</w:t>
      </w:r>
      <w:bookmarkEnd w:id="42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6" w:name="_Toc42729822"/>
      <w:r>
        <w:t>Source line marker</w:t>
      </w:r>
      <w:bookmarkEnd w:id="42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7" w:name="_Toc320481272"/>
      <w:bookmarkStart w:id="428" w:name="_Toc42729823"/>
      <w:r>
        <w:t>Intermediate instruction set</w:t>
      </w:r>
      <w:bookmarkEnd w:id="427"/>
      <w:bookmarkEnd w:id="42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lastRenderedPageBreak/>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lastRenderedPageBreak/>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w:t>
      </w:r>
      <w:r w:rsidR="000E3D73">
        <w:t>ng level the tagfield exists. It</w:t>
      </w:r>
      <w:r w:rsidR="003716D7">
        <w:t xml:space="preserve">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lastRenderedPageBreak/>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lastRenderedPageBreak/>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lastRenderedPageBreak/>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lastRenderedPageBreak/>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lastRenderedPageBreak/>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lastRenderedPageBreak/>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lastRenderedPageBreak/>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lastRenderedPageBreak/>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lastRenderedPageBreak/>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lastRenderedPageBreak/>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lastRenderedPageBreak/>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lastRenderedPageBreak/>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lastRenderedPageBreak/>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lastRenderedPageBreak/>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lastRenderedPageBreak/>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lastRenderedPageBreak/>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lastRenderedPageBreak/>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lastRenderedPageBreak/>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lastRenderedPageBreak/>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lastRenderedPageBreak/>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lastRenderedPageBreak/>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lastRenderedPageBreak/>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lastRenderedPageBreak/>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lastRenderedPageBreak/>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lastRenderedPageBreak/>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lastRenderedPageBreak/>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lastRenderedPageBreak/>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lastRenderedPageBreak/>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lastRenderedPageBreak/>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lastRenderedPageBreak/>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51C" w:rsidRDefault="000D651C" w:rsidP="00EA27AB">
      <w:pPr>
        <w:spacing w:after="0"/>
      </w:pPr>
      <w:r>
        <w:separator/>
      </w:r>
    </w:p>
  </w:endnote>
  <w:endnote w:type="continuationSeparator" w:id="0">
    <w:p w:rsidR="000D651C" w:rsidRDefault="000D651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04BEF">
      <w:trPr>
        <w:trHeight w:val="360"/>
      </w:trPr>
      <w:tc>
        <w:tcPr>
          <w:tcW w:w="1500" w:type="pct"/>
          <w:shd w:val="clear" w:color="auto" w:fill="00ADDC" w:themeFill="accent4"/>
        </w:tcPr>
        <w:p w:rsidR="00C04BEF" w:rsidRDefault="00C04BEF">
          <w:pPr>
            <w:pStyle w:val="Footer"/>
            <w:rPr>
              <w:color w:val="FFFFFF" w:themeColor="background1"/>
            </w:rPr>
          </w:pPr>
          <w:r>
            <w:fldChar w:fldCharType="begin"/>
          </w:r>
          <w:r>
            <w:instrText xml:space="preserve"> PAGE   \* MERGEFORMAT </w:instrText>
          </w:r>
          <w:r>
            <w:fldChar w:fldCharType="separate"/>
          </w:r>
          <w:r w:rsidR="007A3169" w:rsidRPr="007A3169">
            <w:rPr>
              <w:noProof/>
              <w:color w:val="FFFFFF" w:themeColor="background1"/>
            </w:rPr>
            <w:t>70</w:t>
          </w:r>
          <w:r>
            <w:rPr>
              <w:noProof/>
              <w:color w:val="FFFFFF" w:themeColor="background1"/>
            </w:rPr>
            <w:fldChar w:fldCharType="end"/>
          </w:r>
        </w:p>
      </w:tc>
      <w:tc>
        <w:tcPr>
          <w:tcW w:w="3500" w:type="pct"/>
        </w:tcPr>
        <w:p w:rsidR="00C04BEF" w:rsidRDefault="00C04BEF">
          <w:pPr>
            <w:pStyle w:val="Footer"/>
          </w:pPr>
        </w:p>
      </w:tc>
    </w:tr>
  </w:tbl>
  <w:p w:rsidR="00C04BEF" w:rsidRDefault="00C04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04BEF">
      <w:trPr>
        <w:trHeight w:val="360"/>
      </w:trPr>
      <w:tc>
        <w:tcPr>
          <w:tcW w:w="3500" w:type="pct"/>
        </w:tcPr>
        <w:p w:rsidR="00C04BEF" w:rsidRDefault="00C04BEF">
          <w:pPr>
            <w:pStyle w:val="Footer"/>
            <w:jc w:val="right"/>
          </w:pPr>
        </w:p>
      </w:tc>
      <w:tc>
        <w:tcPr>
          <w:tcW w:w="1500" w:type="pct"/>
          <w:shd w:val="clear" w:color="auto" w:fill="00ADDC" w:themeFill="accent4"/>
        </w:tcPr>
        <w:p w:rsidR="00C04BEF" w:rsidRDefault="00C04BEF">
          <w:pPr>
            <w:pStyle w:val="Footer"/>
            <w:jc w:val="right"/>
            <w:rPr>
              <w:color w:val="FFFFFF" w:themeColor="background1"/>
            </w:rPr>
          </w:pPr>
          <w:r>
            <w:fldChar w:fldCharType="begin"/>
          </w:r>
          <w:r>
            <w:instrText xml:space="preserve"> PAGE    \* MERGEFORMAT </w:instrText>
          </w:r>
          <w:r>
            <w:fldChar w:fldCharType="separate"/>
          </w:r>
          <w:r w:rsidR="007A3169" w:rsidRPr="007A3169">
            <w:rPr>
              <w:noProof/>
              <w:color w:val="FFFFFF" w:themeColor="background1"/>
            </w:rPr>
            <w:t>71</w:t>
          </w:r>
          <w:r>
            <w:rPr>
              <w:noProof/>
              <w:color w:val="FFFFFF" w:themeColor="background1"/>
            </w:rPr>
            <w:fldChar w:fldCharType="end"/>
          </w:r>
        </w:p>
      </w:tc>
    </w:tr>
  </w:tbl>
  <w:p w:rsidR="00C04BEF" w:rsidRDefault="00C04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51C" w:rsidRDefault="000D651C"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651C" w:rsidRPr="00A67162" w:rsidRDefault="000D651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0D651C" w:rsidRPr="00A67162" w:rsidRDefault="000D651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0D651C" w:rsidRDefault="000D651C" w:rsidP="00EA27AB">
      <w:pPr>
        <w:spacing w:after="0"/>
      </w:pPr>
      <w:r>
        <w:continuationSeparator/>
      </w:r>
    </w:p>
  </w:footnote>
  <w:footnote w:id="1">
    <w:p w:rsidR="00C04BEF" w:rsidRDefault="00C04BEF">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C04BEF" w:rsidRDefault="00C04BEF">
      <w:pPr>
        <w:pStyle w:val="FootnoteText"/>
      </w:pPr>
      <w:r>
        <w:rPr>
          <w:rStyle w:val="FootnoteReference"/>
        </w:rPr>
        <w:footnoteRef/>
      </w:r>
      <w:r>
        <w:t xml:space="preserve"> The configure system and general file/directory layout is deliberately modeled after GNU standards for the same.</w:t>
      </w:r>
    </w:p>
  </w:footnote>
  <w:footnote w:id="3">
    <w:p w:rsidR="00C04BEF" w:rsidRDefault="00C04BEF">
      <w:pPr>
        <w:pStyle w:val="FootnoteText"/>
      </w:pPr>
      <w:r>
        <w:rPr>
          <w:rStyle w:val="FootnoteReference"/>
        </w:rPr>
        <w:footnoteRef/>
      </w:r>
      <w:r>
        <w:t xml:space="preserve"> Actually, the convention comes from an old basic I once used. Old habits die hard.</w:t>
      </w:r>
    </w:p>
  </w:footnote>
  <w:footnote w:id="4">
    <w:p w:rsidR="00C04BEF" w:rsidRDefault="00C04BE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C04BEF" w:rsidRDefault="00C04BEF">
      <w:pPr>
        <w:pStyle w:val="FootnoteText"/>
      </w:pPr>
      <w:r>
        <w:rPr>
          <w:rStyle w:val="FootnoteReference"/>
        </w:rPr>
        <w:footnoteRef/>
      </w:r>
      <w:r>
        <w:t xml:space="preserve"> A left-over from when the change was done manually.</w:t>
      </w:r>
    </w:p>
  </w:footnote>
  <w:footnote w:id="6">
    <w:p w:rsidR="00C04BEF" w:rsidRDefault="00C04BEF">
      <w:pPr>
        <w:pStyle w:val="FootnoteText"/>
      </w:pPr>
      <w:r>
        <w:rPr>
          <w:rStyle w:val="FootnoteReference"/>
        </w:rPr>
        <w:footnoteRef/>
      </w:r>
      <w:r>
        <w:t xml:space="preserve"> And it comes with the price of inflating the number of source lines in pcom.pas.</w:t>
      </w:r>
    </w:p>
  </w:footnote>
  <w:footnote w:id="7">
    <w:p w:rsidR="00C04BEF" w:rsidRDefault="00C04BEF" w:rsidP="0093350A">
      <w:pPr>
        <w:pStyle w:val="FootnoteText"/>
      </w:pPr>
      <w:r>
        <w:rPr>
          <w:rStyle w:val="FootnoteReference"/>
        </w:rPr>
        <w:footnoteRef/>
      </w:r>
      <w:r>
        <w:t xml:space="preserve"> I have to admit that I have many times considered the uses of files of files.</w:t>
      </w:r>
    </w:p>
  </w:footnote>
  <w:footnote w:id="8">
    <w:p w:rsidR="00C04BEF" w:rsidRDefault="00C04BEF">
      <w:pPr>
        <w:pStyle w:val="FootnoteText"/>
      </w:pPr>
      <w:r>
        <w:rPr>
          <w:rStyle w:val="FootnoteReference"/>
        </w:rPr>
        <w:footnoteRef/>
      </w:r>
      <w:r>
        <w:t xml:space="preserve"> Aside from simplifying the code and refactoring search, I’m not sure why this was functionally necessary.</w:t>
      </w:r>
    </w:p>
  </w:footnote>
  <w:footnote w:id="9">
    <w:p w:rsidR="00C04BEF" w:rsidRDefault="00C04BEF">
      <w:pPr>
        <w:pStyle w:val="FootnoteText"/>
      </w:pPr>
      <w:r>
        <w:rPr>
          <w:rStyle w:val="FootnoteReference"/>
        </w:rPr>
        <w:footnoteRef/>
      </w:r>
      <w:r>
        <w:t xml:space="preserve"> As said elsewhere, I try to refrain from such “code improvements”, but sometimes I can’t resist.</w:t>
      </w:r>
    </w:p>
  </w:footnote>
  <w:footnote w:id="10">
    <w:p w:rsidR="00C04BEF" w:rsidRDefault="00C04BE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C04BEF" w:rsidRDefault="00C04BE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C04BEF" w:rsidRDefault="00C04BEF">
      <w:pPr>
        <w:pStyle w:val="FootnoteText"/>
      </w:pPr>
      <w:r>
        <w:rPr>
          <w:rStyle w:val="FootnoteReference"/>
        </w:rPr>
        <w:footnoteRef/>
      </w:r>
      <w:r>
        <w:t xml:space="preserve"> It’s a theme that if I introduce a variable to save another, I add an ‘s’ at the end.</w:t>
      </w:r>
    </w:p>
  </w:footnote>
  <w:footnote w:id="13">
    <w:p w:rsidR="00C04BEF" w:rsidRDefault="00C04BEF">
      <w:pPr>
        <w:pStyle w:val="FootnoteText"/>
      </w:pPr>
      <w:r>
        <w:rPr>
          <w:rStyle w:val="FootnoteReference"/>
        </w:rPr>
        <w:footnoteRef/>
      </w:r>
      <w:r>
        <w:t xml:space="preserve"> And I have registered my opinion on that change. In Pascal-P6/Pascaline, it is a keyword once again.</w:t>
      </w:r>
    </w:p>
  </w:footnote>
  <w:footnote w:id="14">
    <w:p w:rsidR="00C04BEF" w:rsidRDefault="00C04BE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C04BEF" w:rsidRDefault="00C04BEF">
      <w:pPr>
        <w:pStyle w:val="FootnoteText"/>
      </w:pPr>
      <w:r>
        <w:rPr>
          <w:rStyle w:val="FootnoteReference"/>
        </w:rPr>
        <w:footnoteRef/>
      </w:r>
      <w:r>
        <w:t xml:space="preserve"> On the other hand, its amazing how many mistakes were flagged by this error while developing the code.</w:t>
      </w:r>
    </w:p>
  </w:footnote>
  <w:footnote w:id="16">
    <w:p w:rsidR="00C04BEF" w:rsidRDefault="00C04BEF">
      <w:pPr>
        <w:pStyle w:val="FootnoteText"/>
      </w:pPr>
      <w:r>
        <w:rPr>
          <w:rStyle w:val="FootnoteReference"/>
        </w:rPr>
        <w:footnoteRef/>
      </w:r>
      <w:r>
        <w:t xml:space="preserve"> This whole system of types as numbers could probably use cleanup.</w:t>
      </w:r>
    </w:p>
  </w:footnote>
  <w:footnote w:id="17">
    <w:p w:rsidR="00C04BEF" w:rsidRDefault="00C04BEF">
      <w:pPr>
        <w:pStyle w:val="FootnoteText"/>
      </w:pPr>
      <w:r>
        <w:rPr>
          <w:rStyle w:val="FootnoteReference"/>
        </w:rPr>
        <w:footnoteRef/>
      </w:r>
      <w:r>
        <w:t xml:space="preserve"> I have to admit that, looking at the Pascal-P4 code, I am mystified as to how it worked, or if it did work.</w:t>
      </w:r>
    </w:p>
  </w:footnote>
  <w:footnote w:id="18">
    <w:p w:rsidR="00C04BEF" w:rsidRDefault="00C04BE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C04BEF" w:rsidRDefault="00C04BEF">
      <w:pPr>
        <w:pStyle w:val="FootnoteText"/>
      </w:pPr>
      <w:r>
        <w:rPr>
          <w:rStyle w:val="FootnoteReference"/>
        </w:rPr>
        <w:footnoteRef/>
      </w:r>
      <w:r>
        <w:t xml:space="preserve"> Try </w:t>
      </w:r>
      <w:r w:rsidRPr="006A3AAA">
        <w:rPr>
          <w:b/>
          <w:i/>
        </w:rPr>
        <w:t>that</w:t>
      </w:r>
      <w:r>
        <w:t xml:space="preserve"> in C!</w:t>
      </w:r>
    </w:p>
  </w:footnote>
  <w:footnote w:id="20">
    <w:p w:rsidR="00C04BEF" w:rsidRDefault="00C04BE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04BE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C04BEF" w:rsidRDefault="00C04BE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C04BEF" w:rsidRPr="00AA28AD" w:rsidRDefault="00C04BE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C04BEF" w:rsidRDefault="00C04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04BEF">
      <w:trPr>
        <w:trHeight w:val="475"/>
      </w:trPr>
      <w:tc>
        <w:tcPr>
          <w:tcW w:w="4250" w:type="pct"/>
          <w:shd w:val="clear" w:color="auto" w:fill="00ADDC" w:themeFill="accent4"/>
          <w:vAlign w:val="center"/>
        </w:tcPr>
        <w:p w:rsidR="00C04BEF" w:rsidRDefault="00C04BE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C04BEF" w:rsidRDefault="00C04BEF">
              <w:pPr>
                <w:pStyle w:val="Header"/>
                <w:jc w:val="right"/>
                <w:rPr>
                  <w:color w:val="FFFFFF" w:themeColor="background1"/>
                </w:rPr>
              </w:pPr>
              <w:r>
                <w:rPr>
                  <w:color w:val="FFFFFF" w:themeColor="background1"/>
                </w:rPr>
                <w:t>August 29, 2014</w:t>
              </w:r>
            </w:p>
          </w:tc>
        </w:sdtContent>
      </w:sdt>
    </w:tr>
  </w:tbl>
  <w:p w:rsidR="00C04BEF" w:rsidRDefault="00C04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3C58A-697B-41F0-B6F0-3C67B0E9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31700</TotalTime>
  <Pages>113</Pages>
  <Words>43835</Words>
  <Characters>249866</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122</cp:revision>
  <cp:lastPrinted>2018-02-13T16:59:00Z</cp:lastPrinted>
  <dcterms:created xsi:type="dcterms:W3CDTF">2018-01-04T06:33:00Z</dcterms:created>
  <dcterms:modified xsi:type="dcterms:W3CDTF">2020-06-19T17:05:00Z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