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spacing w:before="0" w:after="200"/>
              <w:rPr>
                <w:b/>
                <w:bCs/>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200"/>
              <w:rPr>
                <w:b w:val="false"/>
                <w:bCs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spacing w:before="0" w:after="200"/>
              <w:rPr>
                <w:b w:val="false"/>
                <w:bCs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spacing w:before="0" w:after="200"/>
              <w:rPr>
                <w:b w:val="false"/>
                <w:bCs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spacing w:before="0" w:after="200"/>
              <w:rPr>
                <w:b w:val="false"/>
                <w:bCs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200"/>
              <w:rPr>
                <w:b/>
                <w:bCs/>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spacing w:before="0" w:after="200"/>
              <w:rPr>
                <w:b/>
                <w:bCs/>
                <w:i w:val="false"/>
                <w:iCs w:val="false"/>
                <w:sz w:val="24"/>
                <w:szCs w:val="24"/>
              </w:rPr>
            </w:pPr>
            <w:r>
              <w:rPr>
                <w:bCs/>
                <w:iCs w:val="false"/>
                <w:szCs w:val="24"/>
              </w:rPr>
              <w:t>The technical details of Pascaline.</w:t>
            </w:r>
          </w:p>
        </w:tc>
      </w:tr>
    </w:tbl>
    <w:p>
      <w:pPr>
        <w:pStyle w:val="Normal"/>
        <w:rPr>
          <w:b/>
          <w:bCs/>
          <w:i w:val="false"/>
          <w:iCs w:val="false"/>
          <w:sz w:val="24"/>
          <w:szCs w:val="24"/>
        </w:rPr>
      </w:pPr>
      <w:r>
        <w:rPr>
          <w:bCs/>
          <w:iCs w:val="false"/>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6"/>
        <w:gridCol w:w="3115"/>
        <w:gridCol w:w="3113"/>
      </w:tblGrid>
      <w:tr>
        <w:trPr>
          <w:cnfStyle w:val="100000000000" w:firstRow="1" w:lastRow="0" w:firstColumn="0" w:lastColumn="0" w:oddVBand="0" w:evenVBand="0" w:oddHBand="0" w:evenHBand="0" w:firstRowFirstColumn="0" w:firstRowLastColumn="0" w:lastRowFirstColumn="0" w:lastRowLastColumn="0"/>
        </w:trPr>
        <w:tc>
          <w:tcPr>
            <w:tcW w:w="320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5"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rPr>
                <w:b/>
                <w:bCs/>
                <w:i w:val="false"/>
                <w:iCs w:val="false"/>
                <w:sz w:val="24"/>
                <w:szCs w:val="24"/>
              </w:rPr>
            </w:pPr>
            <w:r>
              <w:rPr>
                <w:rFonts w:eastAsia="Corbel" w:cs=""/>
                <w:b/>
                <w:bCs/>
                <w:iCs w:val="false"/>
                <w:kern w:val="0"/>
                <w:sz w:val="22"/>
                <w:szCs w:val="22"/>
                <w:lang w:val="en-US" w:eastAsia="en-US" w:bidi="ar-SA"/>
              </w:rPr>
              <w:t>Pascal User Manual and Report</w:t>
            </w:r>
          </w:p>
          <w:p>
            <w:pPr>
              <w:pStyle w:val="Normal"/>
              <w:spacing w:before="0" w:after="200"/>
              <w:rPr>
                <w:b/>
                <w:bCs/>
                <w:i w:val="false"/>
                <w:iCs w:val="false"/>
                <w:sz w:val="24"/>
                <w:szCs w:val="24"/>
              </w:rPr>
            </w:pPr>
            <w:r>
              <w:rPr>
                <w:rFonts w:eastAsia="Corbel" w:cs=""/>
                <w:b/>
                <w:bCs/>
                <w:iCs w:val="false"/>
                <w:kern w:val="0"/>
                <w:sz w:val="22"/>
                <w:szCs w:val="22"/>
                <w:lang w:val="en-US" w:eastAsia="en-US" w:bidi="ar-SA"/>
              </w:rPr>
              <w:t>Kethleen Jensen &amp; Niklaus Wirth</w:t>
            </w:r>
          </w:p>
        </w:tc>
        <w:tc>
          <w:tcPr>
            <w:tcW w:w="3115" w:type="dxa"/>
            <w:tcBorders>
              <w:top w:val="nil"/>
              <w:left w:val="nil"/>
              <w:bottom w:val="nil"/>
              <w:right w:val="nil"/>
            </w:tcBorders>
            <w:shd w:color="auto" w:fill="B7EFFF" w:themeFill="accent4" w:themeFillTint="3f" w:val="clear"/>
          </w:tcPr>
          <w:p>
            <w:pPr>
              <w:pStyle w:val="Normal"/>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3" w:type="dxa"/>
            <w:tcBorders>
              <w:top w:val="nil"/>
              <w:left w:val="nil"/>
              <w:bottom w:val="nil"/>
            </w:tcBorders>
            <w:shd w:color="auto" w:fill="B7EFFF" w:themeFill="accent4" w:themeFillTint="3f" w:val="clear"/>
          </w:tcPr>
          <w:p>
            <w:pPr>
              <w:pStyle w:val="Normal"/>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rPr>
                <w:b w:val="false"/>
                <w:bCs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spacing w:before="0" w:after="200"/>
              <w:rPr>
                <w:b w:val="false"/>
                <w:bCs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bottom w:val="nil"/>
              <w:right w:val="nil"/>
            </w:tcBorders>
          </w:tcPr>
          <w:p>
            <w:pPr>
              <w:pStyle w:val="Normal"/>
              <w:spacing w:before="0" w:after="200"/>
              <w:rPr>
                <w:b w:val="false"/>
                <w:bCs w:val="false"/>
                <w:i w:val="false"/>
                <w:iCs w:val="false"/>
                <w:sz w:val="24"/>
                <w:szCs w:val="24"/>
              </w:rPr>
            </w:pPr>
            <w:r>
              <w:rPr>
                <w:bCs w:val="false"/>
                <w:iCs w:val="false"/>
                <w:szCs w:val="24"/>
              </w:rPr>
              <w:t>Covers the details of the ISO 7185 standard.</w:t>
            </w:r>
          </w:p>
        </w:tc>
        <w:tc>
          <w:tcPr>
            <w:tcW w:w="3113" w:type="dxa"/>
            <w:tcBorders>
              <w:top w:val="nil"/>
              <w:left w:val="nil"/>
              <w:bottom w:val="nil"/>
            </w:tcBorders>
          </w:tcPr>
          <w:p>
            <w:pPr>
              <w:pStyle w:val="Normal"/>
              <w:spacing w:before="0" w:after="200"/>
              <w:rPr>
                <w:b w:val="false"/>
                <w:bCs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rPr>
                <w:b w:val="false"/>
                <w:bCs w:val="false"/>
                <w:i w:val="false"/>
                <w:iCs w:val="false"/>
                <w:sz w:val="24"/>
                <w:szCs w:val="24"/>
              </w:rPr>
            </w:pPr>
            <w:r>
              <w:rPr>
                <w:rFonts w:eastAsia="Corbel" w:cs=""/>
                <w:b/>
                <w:bCs/>
                <w:iCs w:val="false"/>
                <w:kern w:val="0"/>
                <w:sz w:val="22"/>
                <w:szCs w:val="22"/>
                <w:lang w:val="en-US" w:eastAsia="en-US" w:bidi="ar-SA"/>
              </w:rPr>
              <w:t>A Primer on Pascal</w:t>
            </w:r>
          </w:p>
          <w:p>
            <w:pPr>
              <w:pStyle w:val="Normal"/>
              <w:spacing w:before="0" w:after="200"/>
              <w:rPr>
                <w:b w:val="false"/>
                <w:bCs w:val="false"/>
                <w:i w:val="false"/>
                <w:iCs w:val="false"/>
                <w:sz w:val="24"/>
                <w:szCs w:val="24"/>
              </w:rPr>
            </w:pPr>
            <w:r>
              <w:rPr>
                <w:rFonts w:eastAsia="Corbel" w:cs=""/>
                <w:b/>
                <w:bCs/>
                <w:iCs w:val="false"/>
                <w:kern w:val="0"/>
                <w:sz w:val="22"/>
                <w:szCs w:val="22"/>
                <w:lang w:val="en-US" w:eastAsia="en-US" w:bidi="ar-SA"/>
              </w:rPr>
              <w:t>Conway, Gries, Zimmerman</w:t>
            </w:r>
          </w:p>
        </w:tc>
        <w:tc>
          <w:tcPr>
            <w:tcW w:w="3115" w:type="dxa"/>
            <w:tcBorders>
              <w:top w:val="nil"/>
              <w:left w:val="nil"/>
              <w:bottom w:val="nil"/>
              <w:right w:val="nil"/>
            </w:tcBorders>
            <w:shd w:color="auto" w:fill="B7EFFF" w:themeFill="accent4" w:themeFillTint="3f" w:val="clear"/>
          </w:tcPr>
          <w:p>
            <w:pPr>
              <w:pStyle w:val="Normal"/>
              <w:spacing w:before="0" w:after="200"/>
              <w:rPr>
                <w:b w:val="false"/>
                <w:bCs w:val="false"/>
                <w:i w:val="false"/>
                <w:iCs w:val="false"/>
                <w:sz w:val="24"/>
                <w:szCs w:val="24"/>
              </w:rPr>
            </w:pPr>
            <w:r>
              <w:rPr>
                <w:bCs w:val="false"/>
                <w:iCs w:val="false"/>
                <w:szCs w:val="24"/>
              </w:rPr>
              <w:t>A good basic introduction to Pascal.</w:t>
            </w:r>
          </w:p>
        </w:tc>
        <w:tc>
          <w:tcPr>
            <w:tcW w:w="3113" w:type="dxa"/>
            <w:tcBorders>
              <w:top w:val="nil"/>
              <w:left w:val="nil"/>
              <w:bottom w:val="nil"/>
            </w:tcBorders>
            <w:shd w:color="auto" w:fill="B7EFFF" w:themeFill="accent4" w:themeFillTint="3f" w:val="clear"/>
          </w:tcPr>
          <w:p>
            <w:pPr>
              <w:pStyle w:val="Normal"/>
              <w:spacing w:before="0" w:after="200"/>
              <w:rPr>
                <w:b w:val="false"/>
                <w:bCs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rPr>
                <w:b/>
                <w:bCs/>
                <w:i w:val="false"/>
                <w:iCs w:val="false"/>
                <w:sz w:val="24"/>
                <w:szCs w:val="24"/>
              </w:rPr>
            </w:pPr>
            <w:r>
              <w:rPr>
                <w:rFonts w:eastAsia="Corbel" w:cs=""/>
                <w:b/>
                <w:bCs/>
                <w:iCs w:val="false"/>
                <w:kern w:val="0"/>
                <w:sz w:val="22"/>
                <w:szCs w:val="22"/>
                <w:lang w:val="en-US" w:eastAsia="en-US" w:bidi="ar-SA"/>
              </w:rPr>
              <w:t>Oh! Pascal!</w:t>
            </w:r>
          </w:p>
          <w:p>
            <w:pPr>
              <w:pStyle w:val="Normal"/>
              <w:spacing w:before="0" w:after="200"/>
              <w:rPr>
                <w:b/>
                <w:bCs/>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right w:val="nil"/>
            </w:tcBorders>
          </w:tcPr>
          <w:p>
            <w:pPr>
              <w:pStyle w:val="Normal"/>
              <w:spacing w:before="0" w:after="200"/>
              <w:rPr>
                <w:b/>
                <w:bCs/>
                <w:i w:val="false"/>
                <w:iCs w:val="false"/>
                <w:sz w:val="24"/>
                <w:szCs w:val="24"/>
              </w:rPr>
            </w:pPr>
            <w:r>
              <w:rPr>
                <w:bCs/>
                <w:iCs w:val="false"/>
                <w:szCs w:val="24"/>
              </w:rPr>
              <w:t>An in-depth introduction to Pascal.</w:t>
            </w:r>
          </w:p>
        </w:tc>
        <w:tc>
          <w:tcPr>
            <w:tcW w:w="3113" w:type="dxa"/>
            <w:tcBorders>
              <w:top w:val="nil"/>
              <w:left w:val="nil"/>
            </w:tcBorders>
          </w:tcPr>
          <w:p>
            <w:pPr>
              <w:pStyle w:val="Normal"/>
              <w:spacing w:before="0" w:after="200"/>
              <w:rPr>
                <w:b/>
                <w:bCs/>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9</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3"/>
      <w:bookmarkStart w:id="5" w:name="_Toc320481114"/>
      <w:bookmarkStart w:id="6" w:name="_Ref371924702"/>
      <w:bookmarkStart w:id="7" w:name="_Ref37192477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397024453"/>
      <w:bookmarkStart w:id="41" w:name="_Ref397024435"/>
      <w:bookmarkStart w:id="42" w:name="_Ref397024475"/>
      <w:bookmarkStart w:id="43" w:name="_Ref528308190"/>
      <w:bookmarkStart w:id="44" w:name="_Ref528308208"/>
      <w:bookmarkStart w:id="45" w:name="_Toc528309099"/>
      <w:bookmarkEnd w:id="39"/>
      <w:r>
        <w:rPr/>
        <w:t>Using Pascal-P</w:t>
      </w:r>
      <w:bookmarkEnd w:id="40"/>
      <w:bookmarkEnd w:id="41"/>
      <w:bookmarkEnd w:id="42"/>
      <w:r>
        <w:rPr/>
        <w:t>6</w:t>
      </w:r>
      <w:bookmarkEnd w:id="43"/>
      <w:bookmarkEnd w:id="44"/>
      <w:bookmarkEnd w:id="45"/>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w:t>
      </w:r>
      <w:r>
        <w:rPr/>
        <w:t>BSD</w:t>
      </w:r>
      <w:r>
        <w:rPr/>
        <w:t>/Mac]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528309104"/>
      <w:bookmarkStart w:id="63" w:name="_Ref528135318"/>
      <w:bookmarkStart w:id="64" w:name="_Ref528132821"/>
      <w:bookmarkStart w:id="65" w:name="_Ref528132800"/>
      <w:bookmarkStart w:id="66" w:name="_Toc320481276"/>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r>
              <w:rPr>
                <w:rFonts w:eastAsia="Corbel" w:cs=""/>
                <w:b/>
                <w:bCs/>
                <w:i w:val="false"/>
                <w:iCs w:val="false"/>
                <w:color w:val="FFFFFF"/>
                <w:kern w:val="0"/>
                <w:sz w:val="22"/>
                <w:szCs w:val="22"/>
                <w:lang w:val="en-US" w:eastAsia="en-US" w:bidi="ar-SA"/>
              </w:rPr>
              <w:t>+/-</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 xml:space="preserve">5   ****   </w:t>
      </w:r>
      <w:r>
        <w:rPr/>
        <w:t>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Ref320531638"/>
      <w:bookmarkStart w:id="78" w:name="_Ref320531634"/>
      <w:bookmarkStart w:id="79" w:name="_Toc32048127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513"/>
      <w:bookmarkStart w:id="85" w:name="_Ref527967812"/>
      <w:bookmarkStart w:id="86" w:name="_Ref527962450"/>
      <w:bookmarkStart w:id="87" w:name="_Toc528309109"/>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w:t>
      </w:r>
      <w:r>
        <w:rPr/>
        <w:t>Note these are not routines you directly call from Pascaline source. See the Pascaline language manual. T</w:t>
      </w:r>
      <w:r>
        <w:rPr/>
        <w: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528309187"/>
      <w:bookmarkStart w:id="245" w:name="_Toc320481279"/>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17</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528309193"/>
      <w:bookmarkStart w:id="326" w:name="_Toc320481294"/>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528309196"/>
      <w:bookmarkStart w:id="333" w:name="_Toc320481295"/>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528309197"/>
      <w:bookmarkStart w:id="336" w:name="_Toc320481296"/>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528309198"/>
      <w:bookmarkStart w:id="339" w:name="_Toc320481297"/>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528309199"/>
      <w:bookmarkStart w:id="342" w:name="_Toc320481298"/>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320481299"/>
      <w:bookmarkStart w:id="345" w:name="_Toc528309200"/>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528309201"/>
      <w:bookmarkStart w:id="348" w:name="_Toc320481300"/>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320481301"/>
      <w:bookmarkStart w:id="351" w:name="_Toc528309202"/>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528309203"/>
      <w:bookmarkStart w:id="354" w:name="_Toc320481302"/>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5" w:name="__RefHeading___Toc15906_2478585429"/>
      <w:bookmarkStart w:id="356" w:name="_Toc528309204"/>
      <w:bookmarkStart w:id="357" w:name="_Toc320481303"/>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8" w:name="__RefHeading___Toc15908_2478585429"/>
      <w:bookmarkStart w:id="359" w:name="_Toc528309205"/>
      <w:bookmarkStart w:id="360" w:name="_Toc320481304"/>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16.3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528309210"/>
      <w:bookmarkStart w:id="390" w:name="_Toc320481272"/>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Ref320433003"/>
      <w:bookmarkStart w:id="395" w:name="_Ref320433002"/>
      <w:bookmarkStart w:id="396" w:name="_Toc320481280"/>
      <w:bookmarkStart w:id="397" w:name="_Toc528309212"/>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528309213"/>
      <w:bookmarkStart w:id="400" w:name="_Toc320481281"/>
      <w:bookmarkEnd w:id="398"/>
      <w:r>
        <w:rPr/>
        <w:t>Running tests</w:t>
      </w:r>
      <w:bookmarkEnd w:id="399"/>
      <w:bookmarkEnd w:id="400"/>
    </w:p>
    <w:p>
      <w:pPr>
        <w:pStyle w:val="Heading3"/>
        <w:rPr/>
      </w:pPr>
      <w:bookmarkStart w:id="401" w:name="__RefHeading___Toc15956_2478585429"/>
      <w:bookmarkStart w:id="402" w:name="_Toc528309214"/>
      <w:bookmarkStart w:id="403" w:name="_Toc320481282"/>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320481283"/>
      <w:bookmarkStart w:id="406" w:name="_Toc528309215"/>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528309216"/>
      <w:bookmarkStart w:id="409" w:name="_Toc320481284"/>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528309217"/>
      <w:bookmarkStart w:id="412" w:name="_Toc320481285"/>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528309218"/>
      <w:bookmarkStart w:id="415" w:name="_Toc320481286"/>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528309219"/>
      <w:bookmarkStart w:id="418" w:name="_Toc320481287"/>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320481288"/>
      <w:bookmarkStart w:id="421" w:name="_Toc528309220"/>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528309231"/>
      <w:bookmarkStart w:id="444" w:name="_Toc320481289"/>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528309235"/>
      <w:bookmarkStart w:id="453" w:name="_Toc320481290"/>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528309236"/>
      <w:bookmarkStart w:id="456" w:name="_Toc320481291"/>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528309238"/>
      <w:bookmarkStart w:id="461" w:name="_Toc320481292"/>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jc w:val="left"/>
        <w:rPr/>
      </w:pPr>
      <w:r>
        <w:rPr/>
      </w:r>
      <w:r>
        <w:br w:type="page"/>
      </w:r>
    </w:p>
    <w:p>
      <w:pPr>
        <w:pStyle w:val="Heading1"/>
        <w:keepLines/>
        <w:widowControl/>
        <w:numPr>
          <w:ilvl w:val="0"/>
          <w:numId w:val="0"/>
        </w:numPr>
        <w:suppressAutoHyphens w:val="true"/>
        <w:spacing w:lineRule="auto" w:line="24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19969</TotalTime>
  <Application>LibreOffice/7.4.3.2$Linux_X86_64 LibreOffice_project/8d7af0b9f05ca3f6bf3593323f061d3291e2ce28</Application>
  <AppVersion>15.0000</AppVersion>
  <Pages>149</Pages>
  <Words>45525</Words>
  <Characters>223342</Characters>
  <CharactersWithSpaces>273066</CharactersWithSpaces>
  <Paragraphs>3961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2022-12-10T10:45:07Z</cp:lastPrinted>
  <dcterms:modified xsi:type="dcterms:W3CDTF">2022-12-16T14:41:32Z</dcterms:modified>
  <cp:revision>278</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