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02"/>
      <w:bookmarkStart w:id="4" w:name="_Ref371924703"/>
      <w:bookmarkStart w:id="5" w:name="_Ref371924773"/>
      <w:bookmarkStart w:id="6" w:name="_Toc320481114"/>
      <w:bookmarkStart w:id="7" w:name="_Ref371924699"/>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Ref527945403"/>
      <w:bookmarkStart w:id="21" w:name="_Toc528309098"/>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Toc528309099"/>
      <w:bookmarkStart w:id="24" w:name="_Ref528308208"/>
      <w:bookmarkStart w:id="25" w:name="_Ref528308190"/>
      <w:bookmarkStart w:id="26" w:name="_Ref397024435"/>
      <w:bookmarkStart w:id="27" w:name="_Ref39702447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Toc320481274"/>
      <w:bookmarkStart w:id="33" w:name="_Ref320508786"/>
      <w:bookmarkStart w:id="34" w:name="_Ref320508793"/>
      <w:bookmarkStart w:id="35" w:name="_Ref320508875"/>
      <w:bookmarkStart w:id="36" w:name="_Ref320508880"/>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320481276"/>
      <w:bookmarkStart w:id="41" w:name="_Ref528132800"/>
      <w:bookmarkStart w:id="42" w:name="_Ref528132821"/>
      <w:bookmarkStart w:id="43" w:name="_Ref528135318"/>
      <w:bookmarkStart w:id="44" w:name="_Toc528309104"/>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528309106"/>
      <w:bookmarkStart w:id="47" w:name="_Toc320481275"/>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320481277"/>
      <w:bookmarkStart w:id="49" w:name="_Ref320531634"/>
      <w:bookmarkStart w:id="50" w:name="_Ref320531638"/>
      <w:bookmarkStart w:id="51" w:name="_Toc52830910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812"/>
      <w:bookmarkStart w:id="55" w:name="_Toc528309109"/>
      <w:bookmarkStart w:id="56" w:name="_Ref527962450"/>
      <w:bookmarkStart w:id="57" w:name="_Ref527967513"/>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Ref528273764"/>
      <w:bookmarkStart w:id="61" w:name="_Toc528309112"/>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320481294"/>
      <w:bookmarkStart w:id="146" w:name="_Toc528309193"/>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528309196"/>
      <w:bookmarkStart w:id="150" w:name="_Toc320481295"/>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320481296"/>
      <w:bookmarkStart w:id="152" w:name="_Toc528309197"/>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320481297"/>
      <w:bookmarkStart w:id="154" w:name="_Toc528309198"/>
      <w:r>
        <w:rPr/>
        <w:t>Directory: mac_X86</w:t>
      </w:r>
      <w:bookmarkEnd w:id="153"/>
      <w:bookmarkEnd w:id="154"/>
    </w:p>
    <w:p>
      <w:pPr>
        <w:pStyle w:val="Normal"/>
        <w:ind w:left="2160" w:hanging="2160"/>
        <w:rPr/>
      </w:pPr>
      <w:r>
        <w:rPr/>
        <w:t>A placeholder for Mac OS X binaries.</w:t>
      </w:r>
    </w:p>
    <w:p>
      <w:pPr>
        <w:pStyle w:val="Heading2"/>
        <w:rPr/>
      </w:pPr>
      <w:bookmarkStart w:id="155" w:name="_Toc320481298"/>
      <w:bookmarkStart w:id="156" w:name="_Toc528309199"/>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320481299"/>
      <w:bookmarkStart w:id="158" w:name="_Toc528309200"/>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320481300"/>
      <w:bookmarkStart w:id="160" w:name="_Toc528309201"/>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320481301"/>
      <w:bookmarkStart w:id="162" w:name="_Toc528309202"/>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320481302"/>
      <w:bookmarkStart w:id="164" w:name="_Toc528309203"/>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320481303"/>
      <w:bookmarkStart w:id="166" w:name="_Toc528309204"/>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320481304"/>
      <w:bookmarkStart w:id="168" w:name="_Toc528309205"/>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r>
        <w:rPr/>
        <w:t>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 xml:space="preserve">If the compiler pgen_x_x is used, only one module at a time is input. Linking modules together is done after the output of the compiler is given as input to the linker. </w:t>
      </w:r>
      <w:r>
        <w:rPr/>
        <w:t>The module “stacking” mechanisim of pint is simulated by using the constructor and destructor attributes of gcc. See the section on pgen for more information.</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r>
        <w:rPr/>
        <w:t>Exception frames</w:t>
      </w:r>
    </w:p>
    <w:p>
      <w:pPr>
        <w:pStyle w:val="Normal"/>
        <w:rPr/>
      </w:pPr>
      <w:r>
        <w:rPr/>
        <w:t xml:space="preserve">Exception frames are a series of linked frames placed on the stack that set up a chain of exception handlers. They are machine dependent, but pint uses the format </w:t>
      </w:r>
      <w:r>
        <w:rPr/>
        <w:t>(in stack top to bottom order)</w:t>
      </w:r>
      <w:r>
        <w:rPr/>
        <w:t>:</w:t>
      </w:r>
    </w:p>
    <w:p>
      <w:pPr>
        <w:pStyle w:val="Normal"/>
        <w:spacing w:before="0" w:after="0"/>
        <w:rPr/>
      </w:pPr>
      <w:r>
        <w:rPr/>
        <w:tab/>
      </w:r>
      <w:r>
        <w:rPr/>
        <w:t>v</w:t>
      </w:r>
      <w:r>
        <w:rPr/>
        <w:t>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 xml:space="preserve">What the exception frame does is give sufficient information to recover from an error, reset the stack and mark, then execute the exception handler. The exception handler matches a series of exception variables </w:t>
      </w:r>
      <w:r>
        <w:rPr/>
        <w:t>to the onstack exception address</w:t>
      </w:r>
      <w:r>
        <w:rPr/>
        <w:t>, including a “wild card” or any exception handler, then if not found, climbs the chain of exception handlers until one is found.</w:t>
      </w:r>
    </w:p>
    <w:p>
      <w:pPr>
        <w:pStyle w:val="Heading2"/>
        <w:rPr/>
      </w:pPr>
      <w:bookmarkStart w:id="175" w:name="_Toc320481272"/>
      <w:bookmarkStart w:id="176" w:name="_Toc528309210"/>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r>
      <w:r>
        <w:br w:type="page"/>
      </w:r>
    </w:p>
    <w:p>
      <w:pPr>
        <w:pStyle w:val="Normal"/>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 xml:space="preserve">The p parameter, if it is exists, is always an unsigned byte. The q parameter, if it exists, is either one or </w:t>
      </w:r>
      <w:r>
        <w:rPr/>
        <w:t>N</w:t>
      </w:r>
      <w:r>
        <w:rPr/>
        <w:t xml:space="preserve"> bytes long, </w:t>
      </w:r>
      <w:r>
        <w:rPr/>
        <w:t>where N is the word size of the machine</w:t>
      </w:r>
      <w:r>
        <w:rPr/>
        <w:t xml:space="preserve">. If q1 exists, q is always </w:t>
      </w:r>
      <w:r>
        <w:rPr/>
        <w:t>N</w:t>
      </w:r>
      <w:r>
        <w:rPr/>
        <w:t xml:space="preserve"> bytes long. q1 is always </w:t>
      </w:r>
      <w:r>
        <w:rPr/>
        <w:t>N</w:t>
      </w:r>
      <w:r>
        <w:rPr/>
        <w:t xml:space="preserve"> bytes long. These will be refered to below as q8 and q</w:t>
      </w:r>
      <w:r>
        <w:rPr/>
        <w:t>n</w:t>
      </w:r>
      <w:r>
        <w:rPr/>
        <w:t xml:space="preserve"> (8 bit and </w:t>
      </w:r>
      <w:r>
        <w:rPr/>
        <w:t>B</w:t>
      </w:r>
      <w:r>
        <w:rPr/>
        <w:t xml:space="preserve">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 xml:space="preserve">apc </w:t>
      </w:r>
      <w:r>
        <w:rPr>
          <w:color w:val="000000"/>
        </w:rPr>
        <w:t>lvl size</w:t>
      </w:r>
      <w:r>
        <w:rPr>
          <w:color w:val="000000"/>
        </w:rPr>
        <w:tab/>
        <w:tab/>
        <w:t xml:space="preserve">210 </w:t>
      </w:r>
      <w:r>
        <w:rPr>
          <w:color w:val="000000"/>
        </w:rPr>
        <w:t>qn qn</w:t>
        <w:tab/>
        <w:t>sadr stmp dadr dtmp</w:t>
      </w:r>
    </w:p>
    <w:p>
      <w:pPr>
        <w:pStyle w:val="NoSpacing"/>
        <w:rPr>
          <w:color w:val="000000"/>
        </w:rPr>
      </w:pPr>
      <w:r>
        <w:rPr>
          <w:color w:val="000000"/>
        </w:rPr>
      </w:r>
    </w:p>
    <w:p>
      <w:pPr>
        <w:pStyle w:val="NoSpacing"/>
        <w:rPr>
          <w:color w:val="000000"/>
        </w:rPr>
      </w:pPr>
      <w:r>
        <w:rPr>
          <w:color w:val="000000"/>
        </w:rPr>
        <w:t xml:space="preserve">Assign pointer complex. </w:t>
      </w:r>
      <w:r>
        <w:rPr>
          <w:color w:val="000000"/>
        </w:rPr>
        <w:t>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 xml:space="preserve">bge </w:t>
      </w:r>
      <w:r>
        <w:rPr>
          <w:color w:val="000000"/>
        </w:rPr>
        <w:t>eadr</w:t>
      </w:r>
      <w:r>
        <w:rPr>
          <w:color w:val="000000"/>
        </w:rPr>
        <w:tab/>
        <w:tab/>
        <w:t>207</w:t>
        <w:tab/>
        <w:tab/>
        <w:tab/>
        <w:tab/>
        <w:tab/>
      </w:r>
      <w:r>
        <w:rPr>
          <w:color w:val="000000"/>
        </w:rPr>
        <w:t>eadr sadr madr vec</w:t>
      </w:r>
    </w:p>
    <w:p>
      <w:pPr>
        <w:pStyle w:val="NoSpacing"/>
        <w:rPr>
          <w:color w:val="000000"/>
        </w:rPr>
      </w:pPr>
      <w:r>
        <w:rPr>
          <w:color w:val="000000"/>
        </w:rPr>
      </w:r>
    </w:p>
    <w:p>
      <w:pPr>
        <w:pStyle w:val="NoSpacing"/>
        <w:rPr>
          <w:color w:val="000000"/>
        </w:rPr>
      </w:pPr>
      <w:r>
        <w:rPr>
          <w:color w:val="000000"/>
        </w:rPr>
        <w:t xml:space="preserve">Begin exception frame. </w:t>
      </w:r>
      <w:r>
        <w:rPr>
          <w:color w:val="000000"/>
        </w:rPr>
        <w:t xml:space="preserve">Establishes a new exception frame. </w:t>
      </w:r>
      <w:r>
        <w:rPr>
          <w:color w:val="000000"/>
        </w:rPr>
        <w:t>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pPr>
      <w:r>
        <w:rPr>
          <w:color w:val="000000"/>
        </w:rPr>
        <w:t>cal adr</w:t>
        <w:tab/>
        <w:tab/>
        <w:tab/>
        <w:t>21 qn</w:t>
        <w:tab/>
        <w:tab/>
        <w:tab/>
        <w:tab/>
        <w:tab/>
        <w:t>raddr</w:t>
      </w:r>
    </w:p>
    <w:p>
      <w:pPr>
        <w:pStyle w:val="NoSpacing"/>
        <w:rPr>
          <w:color w:val="000000"/>
        </w:rPr>
      </w:pPr>
      <w:r>
        <w:rPr>
          <w:color w:val="000000"/>
        </w:rPr>
      </w:r>
    </w:p>
    <w:p>
      <w:pPr>
        <w:pStyle w:val="NoSpacing"/>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Copy complex container to stack.</w:t>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Call operator type with 2 parameters.</w:t>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Call operator type with 1 parameter.</w:t>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qn qn qn</w:t>
        <w:tab/>
        <w:t>tagval tagaddr</w:t>
        <w:tab/>
        <w:tab/>
        <w:t>tagval tagaddr</w:t>
      </w:r>
    </w:p>
    <w:p>
      <w:pPr>
        <w:pStyle w:val="Normal"/>
        <w:spacing w:before="0" w:after="0"/>
        <w:rPr/>
      </w:pPr>
      <w:r>
        <w:rPr>
          <w:color w:val="000000"/>
        </w:rPr>
        <w:t>cvbx off size lvn</w:t>
        <w:tab/>
        <w:t>100 qn qn qn</w:t>
        <w:tab/>
        <w:t>tagval tagaddr</w:t>
        <w:tab/>
        <w:tab/>
        <w:t>tagval tagaddr</w:t>
      </w:r>
    </w:p>
    <w:p>
      <w:pPr>
        <w:pStyle w:val="Normal"/>
        <w:spacing w:before="0" w:after="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color w:val="000000"/>
        </w:rPr>
      </w:pPr>
      <w:r>
        <w:rPr>
          <w:color w:val="000000"/>
        </w:rPr>
        <w:t>Complex container index.</w:t>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color w:val="000000"/>
        </w:rPr>
      </w:pPr>
      <w:r>
        <w:rPr>
          <w:color w:val="000000"/>
        </w:rPr>
        <w:t>Simple container index.</w:t>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tab/>
        <w:tab/>
      </w:r>
      <w:r>
        <w:rPr>
          <w:color w:val="000000"/>
        </w:rPr>
        <w:t>eadr sadr madr vec</w:t>
      </w:r>
    </w:p>
    <w:p>
      <w:pPr>
        <w:pStyle w:val="NoSpacing"/>
        <w:rPr>
          <w:color w:val="000000"/>
        </w:rPr>
      </w:pPr>
      <w:r>
        <w:rPr>
          <w:color w:val="000000"/>
        </w:rPr>
      </w:r>
    </w:p>
    <w:p>
      <w:pPr>
        <w:pStyle w:val="NoSpacing"/>
        <w:rPr>
          <w:color w:val="000000"/>
        </w:rPr>
      </w:pPr>
      <w:r>
        <w:rPr>
          <w:color w:val="000000"/>
        </w:rPr>
        <w:t xml:space="preserve">End exception frame. </w:t>
      </w:r>
      <w:r>
        <w:rPr>
          <w:color w:val="000000"/>
        </w:rPr>
        <w:t xml:space="preserve">Expects an exception handler address, stack address, mark address, and vector variable on stack. Removes all and continues. </w:t>
      </w:r>
      <w:r>
        <w:rPr>
          <w:color w:val="000000"/>
        </w:rPr>
        <w:t>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geqv</w:t>
        <w:tab/>
        <w:tab/>
        <w:tab/>
        <w:t>220</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gtrv</w:t>
        <w:tab/>
        <w:tab/>
        <w:tab/>
        <w:t>218</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qn qn</w:t>
        <w:tab/>
        <w:t>newtagval tagaddr</w:t>
        <w:tab/>
        <w:t>newtagval tagaddr</w:t>
      </w:r>
    </w:p>
    <w:p>
      <w:pPr>
        <w:pStyle w:val="Normal"/>
        <w:spacing w:before="0" w:after="0"/>
        <w:rPr/>
      </w:pPr>
      <w:r>
        <w:rPr>
          <w:color w:val="000000"/>
        </w:rPr>
        <w:t>ivtx off size lvt</w:t>
        <w:tab/>
        <w:tab/>
        <w:t>101 qn qn</w:t>
        <w:tab/>
        <w:t>newtagval tagaddr</w:t>
        <w:tab/>
        <w:t>newtagval tagaddr</w:t>
      </w:r>
    </w:p>
    <w:p>
      <w:pPr>
        <w:pStyle w:val="Normal"/>
        <w:spacing w:before="0" w:after="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t>len sadr len sadr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 xml:space="preserve">ltcb </w:t>
      </w:r>
      <w:r>
        <w:rPr>
          <w:color w:val="000000"/>
        </w:rPr>
        <w:t>off</w:t>
      </w:r>
      <w:r>
        <w:rPr>
          <w:color w:val="000000"/>
        </w:rPr>
        <w:tab/>
        <w:tab/>
        <w:tab/>
        <w:t xml:space="preserve">231 </w:t>
      </w:r>
      <w:r>
        <w:rPr>
          <w:color w:val="000000"/>
        </w:rPr>
        <w:t>qn</w:t>
        <w:tab/>
        <w:tab/>
        <w:tab/>
        <w:tab/>
        <w:tab/>
        <w:t>boolean</w:t>
      </w:r>
    </w:p>
    <w:p>
      <w:pPr>
        <w:pStyle w:val="NoSpacing"/>
        <w:rPr/>
      </w:pPr>
      <w:r>
        <w:rPr>
          <w:color w:val="000000"/>
        </w:rPr>
        <w:t xml:space="preserve">ltcc </w:t>
      </w:r>
      <w:r>
        <w:rPr>
          <w:color w:val="000000"/>
        </w:rPr>
        <w:t>off</w:t>
      </w:r>
      <w:r>
        <w:rPr>
          <w:color w:val="000000"/>
        </w:rPr>
        <w:tab/>
        <w:tab/>
        <w:tab/>
        <w:t xml:space="preserve">232 </w:t>
      </w:r>
      <w:r>
        <w:rPr>
          <w:color w:val="000000"/>
        </w:rPr>
        <w:t>qn</w:t>
        <w:tab/>
        <w:tab/>
        <w:tab/>
        <w:tab/>
        <w:tab/>
        <w:t>char</w:t>
      </w:r>
    </w:p>
    <w:p>
      <w:pPr>
        <w:pStyle w:val="NoSpacing"/>
        <w:rPr/>
      </w:pPr>
      <w:r>
        <w:rPr>
          <w:color w:val="000000"/>
        </w:rPr>
        <w:t xml:space="preserve">ltci </w:t>
      </w:r>
      <w:r>
        <w:rPr>
          <w:color w:val="000000"/>
        </w:rPr>
        <w:t>off</w:t>
      </w:r>
      <w:r>
        <w:rPr>
          <w:color w:val="000000"/>
        </w:rPr>
        <w:tab/>
        <w:tab/>
        <w:tab/>
        <w:t xml:space="preserve">228 </w:t>
      </w:r>
      <w:r>
        <w:rPr>
          <w:color w:val="000000"/>
        </w:rPr>
        <w:t>qn</w:t>
        <w:tab/>
        <w:tab/>
        <w:tab/>
        <w:tab/>
        <w:tab/>
        <w:t>integer</w:t>
      </w:r>
    </w:p>
    <w:p>
      <w:pPr>
        <w:pStyle w:val="NoSpacing"/>
        <w:rPr/>
      </w:pPr>
      <w:r>
        <w:rPr>
          <w:color w:val="000000"/>
        </w:rPr>
        <w:t xml:space="preserve">ltcr </w:t>
      </w:r>
      <w:r>
        <w:rPr>
          <w:color w:val="000000"/>
        </w:rPr>
        <w:t>off</w:t>
      </w:r>
      <w:r>
        <w:rPr>
          <w:color w:val="000000"/>
        </w:rPr>
        <w:tab/>
        <w:tab/>
        <w:tab/>
        <w:t xml:space="preserve">229 </w:t>
      </w:r>
      <w:r>
        <w:rPr>
          <w:color w:val="000000"/>
        </w:rPr>
        <w:t>qn</w:t>
        <w:tab/>
        <w:tab/>
        <w:tab/>
        <w:tab/>
        <w:tab/>
        <w:t>real</w:t>
      </w:r>
    </w:p>
    <w:p>
      <w:pPr>
        <w:pStyle w:val="NoSpacing"/>
        <w:rPr/>
      </w:pPr>
      <w:r>
        <w:rPr>
          <w:color w:val="000000"/>
        </w:rPr>
        <w:t xml:space="preserve">ltcs </w:t>
      </w:r>
      <w:r>
        <w:rPr>
          <w:color w:val="000000"/>
        </w:rPr>
        <w:t>off</w:t>
      </w:r>
      <w:r>
        <w:rPr>
          <w:color w:val="000000"/>
        </w:rPr>
        <w:tab/>
        <w:tab/>
        <w:tab/>
        <w:t xml:space="preserve">230 </w:t>
      </w:r>
      <w:r>
        <w:rPr>
          <w:color w:val="000000"/>
        </w:rPr>
        <w:t>qn</w:t>
        <w:tab/>
        <w:tab/>
        <w:tab/>
        <w:tab/>
        <w:tab/>
        <w:t>sadr</w:t>
      </w:r>
    </w:p>
    <w:p>
      <w:pPr>
        <w:pStyle w:val="NoSpacing"/>
        <w:rPr/>
      </w:pPr>
      <w:r>
        <w:rPr>
          <w:color w:val="000000"/>
        </w:rPr>
        <w:t xml:space="preserve">ltcx </w:t>
      </w:r>
      <w:r>
        <w:rPr>
          <w:color w:val="000000"/>
        </w:rPr>
        <w:t>off</w:t>
      </w:r>
      <w:r>
        <w:rPr>
          <w:color w:val="000000"/>
        </w:rPr>
        <w:tab/>
        <w:tab/>
        <w:tab/>
        <w:t xml:space="preserve">233 </w:t>
      </w:r>
      <w:r>
        <w:rPr>
          <w:color w:val="000000"/>
        </w:rPr>
        <w:t>qn</w:t>
        <w:tab/>
        <w:tab/>
        <w:tab/>
        <w:tab/>
        <w:tab/>
        <w:t>integer</w:t>
      </w:r>
    </w:p>
    <w:p>
      <w:pPr>
        <w:pStyle w:val="NoSpacing"/>
        <w:rPr>
          <w:color w:val="000000"/>
        </w:rPr>
      </w:pPr>
      <w:r>
        <w:rPr>
          <w:color w:val="000000"/>
        </w:rPr>
      </w:r>
    </w:p>
    <w:p>
      <w:pPr>
        <w:pStyle w:val="NoSpacing"/>
        <w:rPr>
          <w:color w:val="000000"/>
        </w:rPr>
      </w:pPr>
      <w:r>
        <w:rPr>
          <w:color w:val="000000"/>
        </w:rPr>
        <w:t xml:space="preserve">Load from constants area. </w:t>
      </w:r>
      <w:r>
        <w:rPr>
          <w:color w:val="000000"/>
        </w:rPr>
        <w:t>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pPr>
      <w:r>
        <w:rPr>
          <w:color w:val="000000"/>
        </w:rPr>
        <w:t xml:space="preserve">lto </w:t>
      </w:r>
      <w:r>
        <w:rPr>
          <w:color w:val="000000"/>
        </w:rPr>
        <w:t>off</w:t>
      </w:r>
      <w:r>
        <w:rPr>
          <w:color w:val="000000"/>
        </w:rPr>
        <w:tab/>
        <w:tab/>
        <w:tab/>
        <w:t>2</w:t>
      </w:r>
      <w:r>
        <w:rPr>
          <w:color w:val="000000"/>
        </w:rPr>
        <w:t xml:space="preserve">34 </w:t>
      </w:r>
      <w:r>
        <w:rPr>
          <w:color w:val="000000"/>
        </w:rPr>
        <w:t>qn</w:t>
        <w:tab/>
        <w:tab/>
        <w:tab/>
        <w:tab/>
        <w:tab/>
        <w:t>adr</w:t>
      </w:r>
    </w:p>
    <w:p>
      <w:pPr>
        <w:pStyle w:val="NoSpacing"/>
        <w:rPr>
          <w:color w:val="000000"/>
        </w:rPr>
      </w:pPr>
      <w:r>
        <w:rPr>
          <w:color w:val="000000"/>
        </w:rPr>
      </w:r>
    </w:p>
    <w:p>
      <w:pPr>
        <w:pStyle w:val="NoSpacing"/>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pPr>
      <w:r>
        <w:rPr>
          <w:color w:val="000000"/>
        </w:rPr>
        <w:t xml:space="preserve">max </w:t>
      </w:r>
      <w:r>
        <w:rPr>
          <w:color w:val="000000"/>
        </w:rPr>
        <w:t>lvl</w:t>
      </w:r>
      <w:r>
        <w:rPr>
          <w:color w:val="000000"/>
        </w:rPr>
        <w:tab/>
        <w:tab/>
        <w:tab/>
        <w:t>2</w:t>
      </w:r>
      <w:r>
        <w:rPr>
          <w:color w:val="000000"/>
        </w:rPr>
        <w:t>14</w:t>
        <w:tab/>
        <w:tab/>
      </w:r>
      <w:r>
        <w:rPr>
          <w:color w:val="000000"/>
        </w:rPr>
        <w:t>lvl dadr tadr</w:t>
        <w:tab/>
        <w:tab/>
        <w:t>integer</w:t>
      </w:r>
    </w:p>
    <w:p>
      <w:pPr>
        <w:pStyle w:val="NoSpacing"/>
        <w:rPr>
          <w:color w:val="000000"/>
        </w:rPr>
      </w:pPr>
      <w:r>
        <w:rPr>
          <w:color w:val="000000"/>
        </w:rPr>
      </w:r>
    </w:p>
    <w:p>
      <w:pPr>
        <w:pStyle w:val="NoSpacing"/>
        <w:rPr/>
      </w:pPr>
      <w:r>
        <w:rPr>
          <w:color w:val="000000"/>
        </w:rPr>
        <w:t xml:space="preserve">Find maximum dimension of array. Expects a level in the instruction, a level argument on stack, a data address followed by a template address or length. The length of the array </w:t>
      </w:r>
      <w:r>
        <w:rPr>
          <w:color w:val="000000"/>
        </w:rPr>
        <w:t>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tab/>
        <w:tab/>
      </w:r>
      <w:r>
        <w:rPr>
          <w:color w:val="000000"/>
        </w:rPr>
        <w:t xml:space="preserve">vec madr, sadr, </w:t>
      </w:r>
      <w:r>
        <w:rPr>
          <w:color w:val="000000"/>
        </w:rPr>
        <w:t>eadr</w:t>
      </w:r>
    </w:p>
    <w:p>
      <w:pPr>
        <w:pStyle w:val="NoSpacing"/>
        <w:rPr>
          <w:color w:val="000000"/>
        </w:rPr>
      </w:pPr>
      <w:r>
        <w:rPr>
          <w:color w:val="000000"/>
        </w:rPr>
      </w:r>
    </w:p>
    <w:p>
      <w:pPr>
        <w:pStyle w:val="NoSpacing"/>
        <w:rPr/>
      </w:pPr>
      <w:r>
        <w:rPr>
          <w:color w:val="000000"/>
        </w:rPr>
        <w:t xml:space="preserve">Handle next exception frame. Expects the exception vector, mark address, stack address and exception address on stack. The current exception frame is discarded and the previous frame restored. The exception is then “thrown” to the new frame/next frame in stacking seqeunce, </w:t>
      </w:r>
      <w:r>
        <w:rPr>
          <w:color w:val="000000"/>
        </w:rPr>
        <w:t>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tab/>
        <w:tab/>
        <w:t>len sadr len adr</w:t>
        <w:tab/>
        <w:tab/>
        <w:t>boolean</w:t>
      </w:r>
    </w:p>
    <w:p>
      <w:pPr>
        <w:pStyle w:val="NoSpacing"/>
        <w:rPr>
          <w:color w:val="000000"/>
        </w:rPr>
      </w:pPr>
      <w:r>
        <w:rPr>
          <w:color w:val="000000"/>
        </w:rPr>
      </w:r>
    </w:p>
    <w:p>
      <w:pPr>
        <w:pStyle w:val="NoSpacing"/>
        <w:rPr>
          <w:color w:val="000000"/>
        </w:rPr>
      </w:pPr>
      <w:r>
        <w:rPr>
          <w:color w:val="000000"/>
        </w:rPr>
        <w:t>Compare two vectorized strings. Expects the length of the second vector on stack top, followed by the second vector address, then the length of the first vector, then the address of the first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tab/>
        <w:tab/>
        <w:t>adr</w:t>
      </w:r>
    </w:p>
    <w:p>
      <w:pPr>
        <w:pStyle w:val="NoSpacing"/>
        <w:rPr>
          <w:color w:val="000000"/>
        </w:rPr>
      </w:pPr>
      <w:r>
        <w:rPr>
          <w:color w:val="000000"/>
        </w:rPr>
      </w:r>
    </w:p>
    <w:p>
      <w:pPr>
        <w:pStyle w:val="NoSpacing"/>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color w:val="000000"/>
        </w:rPr>
      </w:pPr>
      <w:r>
        <w:rPr>
          <w:color w:val="000000"/>
        </w:rPr>
        <w:t>Store complex pointer.</w:t>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tab/>
        <w:tab/>
      </w:r>
      <w:r>
        <w:rPr>
          <w:color w:val="000000"/>
        </w:rPr>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pPr>
      <w:r>
        <w:rPr>
          <w:color w:val="000000"/>
        </w:rPr>
        <w:t>vdp</w:t>
        <w:tab/>
        <w:tab/>
        <w:tab/>
        <w:t>221</w:t>
        <w:tab/>
        <w:tab/>
      </w:r>
      <w:r>
        <w:rPr>
          <w:color w:val="000000"/>
        </w:rPr>
        <w:t>adr</w:t>
      </w:r>
    </w:p>
    <w:p>
      <w:pPr>
        <w:pStyle w:val="NoSpacing"/>
        <w:rPr>
          <w:color w:val="000000"/>
        </w:rPr>
      </w:pPr>
      <w:r>
        <w:rPr>
          <w:color w:val="000000"/>
        </w:rPr>
      </w:r>
    </w:p>
    <w:p>
      <w:pPr>
        <w:pStyle w:val="NoSpacing"/>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 xml:space="preserve">vin </w:t>
      </w:r>
      <w:r>
        <w:rPr/>
        <w:t>lvl siz</w:t>
      </w:r>
      <w:r>
        <w:rPr/>
        <w:tab/>
        <w:tab/>
        <w:t xml:space="preserve">226 </w:t>
      </w:r>
      <w:r>
        <w:rPr/>
        <w:t>qn qn</w:t>
        <w:tab/>
        <w:t xml:space="preserve">adr </w:t>
      </w:r>
      <w:r>
        <w:rPr/>
        <w:t>siz</w:t>
      </w:r>
      <w:r>
        <w:rPr/>
        <w:t xml:space="preserve"> </w:t>
      </w:r>
      <w:r>
        <w:rPr/>
        <w:t>[siz]...</w:t>
      </w:r>
    </w:p>
    <w:p>
      <w:pPr>
        <w:pStyle w:val="Normal"/>
        <w:rPr/>
      </w:pPr>
      <w:r>
        <w:rPr/>
        <w:t xml:space="preserve">Vector initialize dynamic. </w:t>
      </w:r>
      <w:r>
        <w:rPr/>
        <w:t xml:space="preserve">Allocate container array. Expects the </w:t>
      </w:r>
      <w:r>
        <w:rPr/>
        <w:t>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 xml:space="preserve">vip </w:t>
      </w:r>
      <w:r>
        <w:rPr/>
        <w:t>lvl siz</w:t>
      </w:r>
      <w:r>
        <w:rPr/>
        <w:tab/>
        <w:tab/>
        <w:t xml:space="preserve">133 </w:t>
      </w:r>
      <w:r>
        <w:rPr/>
        <w:t>qn qn</w:t>
        <w:tab/>
      </w:r>
      <w:r>
        <w:rPr/>
        <w:t xml:space="preserve">adr </w:t>
      </w:r>
      <w:r>
        <w:rPr/>
        <w:t>siz</w:t>
      </w:r>
      <w:r>
        <w:rPr/>
        <w:t xml:space="preserve"> </w:t>
      </w:r>
      <w:r>
        <w:rPr/>
        <w:t>[siz]...</w:t>
      </w:r>
    </w:p>
    <w:p>
      <w:pPr>
        <w:pStyle w:val="Normal"/>
        <w:rPr/>
      </w:pPr>
      <w:r>
        <w:rPr/>
        <w:t xml:space="preserve">Vector initialize pointer </w:t>
      </w:r>
      <w:r>
        <w:rPr/>
        <w:t>global</w:t>
      </w:r>
      <w:r>
        <w:rPr/>
        <w:t xml:space="preserve">. Expects the </w:t>
      </w:r>
      <w:r>
        <w:rPr/>
        <w:t>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 xml:space="preserve">vis </w:t>
      </w:r>
      <w:r>
        <w:rPr/>
        <w:t>lvl siz</w:t>
      </w:r>
      <w:r>
        <w:rPr/>
        <w:tab/>
        <w:tab/>
        <w:t xml:space="preserve">122 </w:t>
      </w:r>
      <w:r>
        <w:rPr/>
        <w:t>qn qn</w:t>
        <w:tab/>
        <w:t>adr siz [siz]...</w:t>
      </w:r>
    </w:p>
    <w:p>
      <w:pPr>
        <w:pStyle w:val="Normal"/>
        <w:rPr/>
      </w:pPr>
      <w:r>
        <w:rPr/>
        <w:t>Vector initialize stack</w:t>
      </w:r>
      <w:r>
        <w:rPr/>
        <w:t xml:space="preserve">. Expects the </w:t>
      </w:r>
      <w:r>
        <w:rPr/>
        <w:t xml:space="preserve">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tab/>
        <w:tab/>
      </w:r>
      <w:r>
        <w:rPr>
          <w:color w:val="000000"/>
        </w:rPr>
        <w:t>int int</w:t>
        <w:tab/>
        <w:tab/>
        <w:tab/>
        <w:t>int</w:t>
      </w:r>
    </w:p>
    <w:p>
      <w:pPr>
        <w:pStyle w:val="NoSpacing"/>
        <w:rPr>
          <w:color w:val="000000"/>
        </w:rPr>
      </w:pPr>
      <w:r>
        <w:rPr>
          <w:color w:val="000000"/>
        </w:rPr>
      </w:r>
    </w:p>
    <w:p>
      <w:pPr>
        <w:pStyle w:val="NoSpacing"/>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Toc320481280"/>
      <w:bookmarkStart w:id="179" w:name="_Toc528309212"/>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320481281"/>
      <w:bookmarkStart w:id="183" w:name="_Toc528309213"/>
      <w:r>
        <w:rPr/>
        <w:t>Running tests</w:t>
      </w:r>
      <w:bookmarkEnd w:id="182"/>
      <w:bookmarkEnd w:id="183"/>
    </w:p>
    <w:p>
      <w:pPr>
        <w:pStyle w:val="Heading3"/>
        <w:rPr/>
      </w:pPr>
      <w:bookmarkStart w:id="184" w:name="_Toc320481282"/>
      <w:bookmarkStart w:id="185" w:name="_Toc528309214"/>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320481283"/>
      <w:bookmarkStart w:id="187" w:name="_Toc528309215"/>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320481284"/>
      <w:bookmarkStart w:id="189" w:name="_Toc528309216"/>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320481285"/>
      <w:bookmarkStart w:id="191" w:name="_Toc528309217"/>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320481286"/>
      <w:bookmarkStart w:id="193" w:name="_Toc528309218"/>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320481287"/>
      <w:bookmarkStart w:id="195" w:name="_Toc528309219"/>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320481288"/>
      <w:bookmarkStart w:id="197" w:name="_Toc528309220"/>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320481289"/>
      <w:bookmarkStart w:id="209" w:name="_Toc528309231"/>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320481290"/>
      <w:bookmarkStart w:id="214" w:name="_Toc528309235"/>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320481291"/>
      <w:bookmarkStart w:id="216" w:name="_Toc528309236"/>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320481292"/>
      <w:bookmarkStart w:id="219" w:name="_Toc528309238"/>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134</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10720</TotalTime>
  <Application>LibreOffice/7.4.2.3$Linux_X86_64 LibreOffice_project/22949782292d40bc0751a2b0b2cf40927460a4f8</Application>
  <AppVersion>15.0000</AppVersion>
  <Pages>134</Pages>
  <Words>42256</Words>
  <Characters>206154</Characters>
  <CharactersWithSpaces>253245</CharactersWithSpaces>
  <Paragraphs>3655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dcterms:modified xsi:type="dcterms:W3CDTF">2022-11-08T22:57:36Z</dcterms:modified>
  <cp:revision>194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