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699"/>
      <w:bookmarkStart w:id="4" w:name="_Toc320481114"/>
      <w:bookmarkStart w:id="5" w:name="_Ref371924773"/>
      <w:bookmarkStart w:id="6" w:name="_Ref371924703"/>
      <w:bookmarkStart w:id="7" w:name="_Ref371924702"/>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190"/>
      <w:bookmarkStart w:id="24" w:name="_Ref528308208"/>
      <w:bookmarkStart w:id="25" w:name="_Toc528309099"/>
      <w:bookmarkStart w:id="26" w:name="_Ref397024453"/>
      <w:bookmarkStart w:id="27" w:name="_Ref397024475"/>
      <w:bookmarkStart w:id="28" w:name="_Ref39702443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513"/>
      <w:bookmarkStart w:id="55" w:name="_Ref527962450"/>
      <w:bookmarkStart w:id="56" w:name="_Toc528309109"/>
      <w:bookmarkStart w:id="57" w:name="_Ref527967812"/>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Pascal-P5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cal</w:t>
        <w:tab/>
        <w:tab/>
        <w:tab/>
        <w:t>21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Call user virtual procedure.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specified location is then jumped to.</w:t>
      </w:r>
    </w:p>
    <w:p>
      <w:pPr>
        <w:pStyle w:val="Normal"/>
        <w:rPr/>
      </w:pPr>
      <w:r>
        <w:rPr/>
      </w:r>
      <w:r>
        <w:br w:type="page"/>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lft</w:t>
        <w:tab/>
        <w:tab/>
        <w:tab/>
        <w:t>213</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r>
    </w:p>
    <w:p>
      <w:pPr>
        <w:pStyle w:val="NoSpacing"/>
        <w:rPr>
          <w:color w:val="000000"/>
        </w:rPr>
      </w:pPr>
      <w:r>
        <w:rPr>
          <w:color w:val="000000"/>
        </w:rPr>
      </w:r>
    </w:p>
    <w:p>
      <w:pPr>
        <w:pStyle w:val="NoSpacing"/>
        <w:rPr/>
      </w:pPr>
      <w:r>
        <w:rPr>
          <w:color w:val="000000"/>
        </w:rPr>
        <w:t>???</w:t>
      </w:r>
      <w:r>
        <w:br w:type="page"/>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NoSpacing"/>
        <w:rPr/>
      </w:pPr>
      <w:r>
        <w:rPr/>
      </w:r>
    </w:p>
    <w:p>
      <w:pPr>
        <w:pStyle w:val="Tableheader1"/>
        <w:rPr/>
      </w:pPr>
      <w:r>
        <w:rPr/>
        <w:t>Instruction</w:t>
        <w:tab/>
        <w:tab/>
        <w:t xml:space="preserve">Opcode </w:t>
        <w:tab/>
        <w:t>Stack in</w:t>
        <w:tab/>
        <w:tab/>
        <w:t>Stack out</w:t>
      </w:r>
    </w:p>
    <w:p>
      <w:pPr>
        <w:pStyle w:val="Normal"/>
        <w:rPr/>
      </w:pPr>
      <w:r>
        <w:rPr/>
        <w:t xml:space="preserve">suv </w:t>
        <w:tab/>
        <w:tab/>
        <w:tab/>
        <w:t>91</w:t>
      </w:r>
    </w:p>
    <w:p>
      <w:pPr>
        <w:pStyle w:val="Normal"/>
        <w:rPr/>
      </w:pPr>
      <w:r>
        <w:rPr/>
        <w:t>???</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Ref320433002"/>
      <w:bookmarkStart w:id="179" w:name="_Ref320433003"/>
      <w:bookmarkStart w:id="180" w:name="_Toc528309212"/>
      <w:bookmarkStart w:id="181" w:name="_Toc320481280"/>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132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131</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9081</TotalTime>
  <Application>LibreOffice/7.4.2.3$Linux_X86_64 LibreOffice_project/22949782292d40bc0751a2b0b2cf40927460a4f8</Application>
  <AppVersion>15.0000</AppVersion>
  <Pages>132</Pages>
  <Words>40311</Words>
  <Characters>196507</Characters>
  <CharactersWithSpaces>241605</CharactersWithSpaces>
  <Paragraphs>3633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2022-11-02T22:13:24Z</dcterms:modified>
  <cp:revision>158</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