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 Piyasadaki mevcut çözümler ise büyük ölçüde iki eksende yetersiz kalmaktadır: (a) şeffaflık eksikliği: kullanıcı neden belirli bir içeriği gördüğünü genellikle bilmez; (b) refah-körü tasarım: sıralama yalnızca etkileşimi optimize eder, kullanıcının o anki duygusal kırılganlığını hiç hesaba katmaz.</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beyan ettiği ilgi alanları) ile refah skoru (olası spiral tespit edildiğinde AYNI ilgi alanı içinde kalarak daha az tetikleyici içeriğe kayma) birleştirilir. 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 KUTU olmayan bir tasarımdır: sinir ağı tabanlı gizli bir puanlama yerine, her karar (spiral seviyesi, refah cezası, final skor) denetlenebilir, açıklanabilir modellerle (lojistik regresyon/SGD) üretilir ve şeffaflık panelinde kullanıcıya gösterilir. Sistem kasıtlı olarak KONU-NÖTR tasarlanmıştır: siyasi/dini içerik kategorisine göre karar vermez, yalnızca duygusal yoğunluğa bakar; bu, hem etik açıdan hem de yerli/milli konumlandırılmış bir platform için stratejik olarak önemli bir tasarım kararıdır. Yerlilik bileşenleri somuttur: (i) NSosyal'in kendisi T3 Vakfı ve Baykar Teknoloji tarafından geliştirilen yerli bir platformdur; (ii) 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 (iii) 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 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AYRIK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StandardScaler ile ölçeklenmiş bir SGDClassifier'dır (F1 makro 0,704). Aşırı öğrenmeyi (overfitting) önlemek için: tüm modellerde stratified train/test ayrımı, fine-tuning ve bağımsız doğrulama için birbirinden TAMAMEN ayrık veri bölümleri, ve %10 kasıtlı etiket gürültüsü (gerçek dünyada sınırların asla net olmadığını modellemek için) kullanılmıştır.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Arayüz, NSosyal'in mevcut zaman akışı (timeline) mantığına sadık kalacak şekilde tasarlanmıştır: her gönderi kartında "Neden bunu görüyorsun?" butonuyla açılan bir şeffaflık paneli, ilgi skoru/refah cezası/final skoru gösterir. "Tespit edilen durum" göstergesi yükseldikçe akışın renk doygunluğu kademeli olarak (kullanıcı isteğiyle açılıp kapatılabilir bir anahtarla) azalır; bu, engelleyici değil, fark ettirici bir sinyal olarak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yalnızca isteğe bağlı haftalık rapor üretiminde bir LLM çağrısı kullanılır. Bu, platforma milyonlarca etkileşimde dahi düşük işletme maliyetiyle ölçeklenebilirlik sağlar.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w:t>
      </w:r>
    </w:p>
    <w:p>
      <w:pPr>
        <w:spacing w:before="240" w:after="80"/>
        <w:jc w:val="left"/>
      </w:pPr>
      <w:r>
        <w:rPr>
          <w:rFonts w:ascii="Arial" w:hAnsi="Arial"/>
          <w:b/>
          <w:sz w:val="25"/>
          <w:rFonts w:ascii="Arial" w:hAnsi="Arial"/>
        </w:rPr>
        <w:t>4.2. Hedef Kitle</w:t>
      </w:r>
    </w:p>
    <w:p>
      <w:r>
        <w:t>Doğrudan hedef kitle, NSosyal'in ~700 bin'i aşkın aktif kullanıcısıdır;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AYRI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