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spacing w:before="0" w:after="0"/>
        <w:ind w:left="0" w:right="0"/>
      </w:pPr>
      <w:r>
        <w:drawing>
          <wp:inline xmlns:a="http://schemas.openxmlformats.org/drawingml/2006/main" xmlns:pic="http://schemas.openxmlformats.org/drawingml/2006/picture">
            <wp:extent cx="7560564" cy="10692384"/>
            <wp:docPr id="6" name="Picture 6"/>
            <wp:cNvGraphicFramePr>
              <a:graphicFrameLocks noChangeAspect="1"/>
            </wp:cNvGraphicFramePr>
            <a:graphic>
              <a:graphicData uri="http://schemas.openxmlformats.org/drawingml/2006/picture">
                <pic:pic>
                  <pic:nvPicPr>
                    <pic:cNvPr id="0" name="kapak_hires.png"/>
                    <pic:cNvPicPr/>
                  </pic:nvPicPr>
                  <pic:blipFill>
                    <a:blip r:embed="rId13"/>
                    <a:stretch>
                      <a:fillRect/>
                    </a:stretch>
                  </pic:blipFill>
                  <pic:spPr>
                    <a:xfrm>
                      <a:off x="0" y="0"/>
                      <a:ext cx="7560564" cy="10692384"/>
                    </a:xfrm>
                    <a:prstGeom prst="rect"/>
                  </pic:spPr>
                </pic:pic>
              </a:graphicData>
            </a:graphic>
          </wp:inline>
        </w:drawing>
      </w:r>
    </w:p>
    <w:p w14:paraId="4BD78E91" w14:textId="77777777" w:rsidR="00A455BE" w:rsidRDefault="003803C7">
      <w:pPr>
        <w:sectPr>
          <w:pgSz w:w="11906" w:h="16838"/>
          <w:pgMar w:top="0" w:right="0" w:bottom="0" w:left="0" w:header="0" w:footer="0" w:gutter="0"/>
        </w:sectPr>
      </w:pP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t>İÇİNDEKİLER</w:t>
        <w:tab/>
        <w:t>2</w:t>
      </w:r>
    </w:p>
    <w:p w14:paraId="1CEFC5A9" w14:textId="0B73B969" w:rsidR="003803C7" w:rsidRDefault="003803C7">
      <w:pPr>
        <w:pStyle w:val="T1"/>
        <w:tabs>
          <w:tab w:val="right" w:leader="dot" w:pos="9396"/>
        </w:tabs>
        <w:rPr>
          <w:noProof/>
        </w:rPr>
      </w:pPr>
      <w:r>
        <w:t>PROJE ÖZETİ</w:t>
        <w:tab/>
        <w:t>3</w:t>
      </w:r>
    </w:p>
    <w:p w14:paraId="357EAF8C" w14:textId="1AB7F568" w:rsidR="003803C7" w:rsidRDefault="003803C7">
      <w:pPr>
        <w:pStyle w:val="T1"/>
        <w:tabs>
          <w:tab w:val="right" w:leader="dot" w:pos="9396"/>
        </w:tabs>
        <w:rPr>
          <w:noProof/>
        </w:rPr>
      </w:pPr>
      <w:r>
        <w:t>KATMA DEĞER VE YENİLİKÇİLİK</w:t>
        <w:tab/>
        <w:t>4</w:t>
      </w:r>
    </w:p>
    <w:p w14:paraId="58216ED1" w14:textId="5226FE88" w:rsidR="003803C7" w:rsidRDefault="003803C7">
      <w:pPr>
        <w:pStyle w:val="T1"/>
        <w:tabs>
          <w:tab w:val="right" w:leader="dot" w:pos="9396"/>
        </w:tabs>
        <w:rPr>
          <w:noProof/>
        </w:rPr>
      </w:pPr>
      <w:r>
        <w:t>TEKNOLOJİ KULLANIMI</w:t>
        <w:tab/>
        <w:t>6</w:t>
      </w:r>
    </w:p>
    <w:p w14:paraId="58216ED1" w14:textId="5226FE88" w:rsidR="003803C7" w:rsidRDefault="003803C7">
      <w:pPr>
        <w:pStyle w:val="T1"/>
        <w:tabs>
          <w:tab w:val="right" w:leader="dot" w:pos="9396"/>
        </w:tabs>
        <w:rPr>
          <w:noProof/>
        </w:rPr>
      </w:pPr>
      <w:r>
        <w:t>UYGULANABİLİRLİK</w:t>
        <w:tab/>
        <w:t>12</w:t>
      </w:r>
    </w:p>
    <w:p w14:paraId="15A5236B" w14:textId="2582EE6E" w:rsidR="003803C7" w:rsidRDefault="003803C7">
      <w:pPr>
        <w:pStyle w:val="T1"/>
        <w:tabs>
          <w:tab w:val="right" w:leader="dot" w:pos="9396"/>
        </w:tabs>
        <w:rPr>
          <w:noProof/>
        </w:rPr>
      </w:pPr>
      <w:r>
        <w:t>YAYGIN ETKİ</w:t>
        <w:tab/>
        <w:t>14</w:t>
      </w:r>
    </w:p>
    <w:p w14:paraId="7B4C6B07" w14:textId="63138940" w:rsidR="003803C7" w:rsidRDefault="003803C7">
      <w:pPr>
        <w:pStyle w:val="T1"/>
        <w:tabs>
          <w:tab w:val="right" w:leader="dot" w:pos="9396"/>
        </w:tabs>
        <w:rPr>
          <w:noProof/>
        </w:rPr>
      </w:pPr>
      <w:r>
        <w:t>SÜRDÜRÜLEBİLİRLİK</w:t>
        <w:tab/>
        <w:t>17</w:t>
      </w:r>
    </w:p>
    <w:p w14:paraId="3DB2DD5C" w14:textId="64D4C827" w:rsidR="003803C7" w:rsidRDefault="003803C7">
      <w:pPr>
        <w:pStyle w:val="T1"/>
        <w:tabs>
          <w:tab w:val="right" w:leader="dot" w:pos="9396"/>
        </w:tabs>
        <w:rPr>
          <w:noProof/>
        </w:rPr>
      </w:pPr>
      <w:r>
        <w:t>PROJE TAKVİMİ</w:t>
        <w:tab/>
        <w:t>18</w:t>
      </w:r>
    </w:p>
    <w:p w14:paraId="11E2E8F8" w14:textId="7546DD62" w:rsidR="003803C7" w:rsidRDefault="003803C7">
      <w:pPr>
        <w:pStyle w:val="T1"/>
        <w:tabs>
          <w:tab w:val="right" w:leader="dot" w:pos="9396"/>
        </w:tabs>
        <w:rPr>
          <w:noProof/>
        </w:rPr>
      </w:pPr>
      <w:r>
        <w:t>TAKIM YAPISI</w:t>
        <w:tab/>
        <w:t>20</w:t>
      </w:r>
    </w:p>
    <w:p w14:paraId="49101DB4" w14:textId="5D96AE09" w:rsidR="003803C7" w:rsidRDefault="003803C7">
      <w:pPr>
        <w:pStyle w:val="T1"/>
        <w:tabs>
          <w:tab w:val="right" w:leader="dot" w:pos="9396"/>
        </w:tabs>
        <w:rPr>
          <w:noProof/>
        </w:rPr>
      </w:pPr>
      <w:r>
        <w:t>KAYNAKÇA</w:t>
        <w:tab/>
        <w:t>21</w:t>
      </w:r>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 niteliğinde bağımsız bir prototiptir. Davranışsal çıkarımlar teşhis olarak sunulmaz; kullanıcı tepkisi gönüllüdür ve tahminden daha güçlü bir sinyal olarak ele alınır.</w:t>
      </w:r>
      <w:r>
        <w:rPr/>
        <w:t xml:space="preserve"> Bu mimari kararlar (açıklanabilir katmanlı skor, cihaz-içi kişiselleştirme) platformdan bağımsız olduğundan, proje yalnızca NSosyal için değil, benzer sıralama/refah problemiyle karşılaşan ileriki çalışmalar için de yeniden kullanılabilir bir mimari zemin oluşturur.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işlev odaklı commit'ler üzerinden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bir LLM API'si ile,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pStyle w:val="Balk1"/>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r>
        <w:rPr/>
        <w:t xml:space="preserve"> Mimarinin kendisi de ölçeklenebilirlik gözetilerek kurulmuştur: ağır/pahalı model çağrıları sunucu tarafında yalnızca gönderi başına bir kez çalışır, kişiselleştirme ve tekrarlayan skorlama istemci tarafına taşındığından kullanıcı sayısı arttıkça sunucu yükü doğrusal olarak büyümez (bkz. Bölüm 4.1).</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r>
        <w:rPr/>
        <w:t xml:space="preserve"> Değişen kullanıcı ihtiyaçlarına uyum, mimarinin kendisine gömülüdür: kişiselleştirme çevrimiçi (online) öğrenmeyle her kullanıcının davranışına zamanla uyum sağlar, kategori/eşik tanımları ise kod düzeyinde ayrı tutulduğundan yeni bulgular veya mentörlük geri bildirimleri doğrultusunda yeniden eğitim gerekmeden ayarlanabilir.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