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adaylarıdır.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Bölüm 4.1'de gösterildiği gibi bu, milyonlarca etkileşimde dahi düşük maliyetle çalışabilmeyi ve dolayısıyla uzun vadeli işletilebilirliği mümkün kılar.</w:t>
      </w:r>
    </w:p>
    <w:p>
      <w:r>
        <w:t>Teknik sürdürülebilirlik iki ayrı boyutta ele alınmalıdır: bakım ve ölçeklenme. Bakım tarafında, projenin kendi bulgusu somut bir uyarı niteliğindedir: Bölüm 3.2'de bağımsız doğrulamada ortaya çıkan alan kayması, bir modelin bir kez eğitilip sonsuza kadar güvenilir kalamayacağını göstermiştir; platformun içerik dağılımı zamanla değiştikçe modellerin periyodik olarak yeniden doğrulanması ve gerektiğinde yeniden ince ayar yapılması, tek seferlik değil sürekli bir bakım süreci olarak planlanmalıdır. Kendi kendini doğrulama döngüsü (bkz. Bölüm 3.2) bu bakım sürecine gereken erken uyarı sinyalini sağlar: model tahminleri ile kullanıcı onayları arasındaki uyuşma oranı zamanla düşerse, bu durum yeniden eğitim ihtiyacının doğrudan bir göstergesi olur. Ölçeklenme tarafında ise, Bölüm 4.1'de detaylandırılan hafif model mimarisi ve Bölüm 4.3'te belirtilen yeni sinyal/kategori eklemeye açık yapı, teknik sürdürülebilirliğin diğer yarısını oluşturur.</w:t>
      </w:r>
    </w:p>
    <w:p>
      <w:r>
        <w:t>Sosyal sürdürülebilirlik açısından, sistemin kişiselleştirme mekanizması (SGDClassifier'ın partial_fit özelliğiyle çevrimiçi öğrenme) örnek bir prototip olarak uygulanmış ve dürüstçe sınırları belirtilmiştir. Literatür, davranıştan duygu durumu çıkarımının meşru ama kişiye 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Modelin diğer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t>Bu iş paketlerini somut kilometre taşlarına bağlamak 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hazır olacaktır. Bu tarihler yarışmanın resmi takvimiyle (24 Ağustos, 2-7 Eylül, 14 Eylül 2026) doğrudan uyumludur ve yukarıdaki iş paketi tablosundaki dönemlerle birebir örtüşür.</w:t>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p>
      <w:pPr>
        <w:spacing w:after="120" w:line="276" w:lineRule="auto"/>
      </w:pPr>
      <w:r>
        <w:t>[28] Instagram Data Access Pilot for Well-being Research, Meta ve Center for Open Science (COS) ortaklığı, Erişim Tarihi: 20.08.2026, Erişim: https://www.cos.io/meta</w:t>
      </w:r>
    </w:p>
    <w:p>
      <w:pPr>
        <w:spacing w:after="120" w:line="276" w:lineRule="auto"/>
      </w:pPr>
      <w:r>
        <w:t>[29] 2023-2024 Annual Report, Wikimedia Foundation, Erişim Tarihi: 20.08.2026, Erişim: https://wikimediafoundation.org/annualreports/2023-2024-annual-report/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