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rFonts w:ascii="Arial Black" w:hAnsi="Arial Black"/>
          <w:b/>
          <w:sz w:val="52"/>
        </w:rPr>
        <w:t>NSosyal Duygu Katmanı</w:t>
      </w:r>
    </w:p>
    <w:p>
      <w:pPr>
        <w:spacing w:before="200"/>
        <w:jc w:val="center"/>
      </w:pPr>
      <w:r>
        <w:rPr>
          <w:i/>
          <w:sz w:val="30"/>
        </w:rPr>
        <w:t>Duygu-Duyarlı, Açıklanabilir ve Koruyucu Bir Sıralama Katmanı</w:t>
      </w:r>
    </w:p>
    <w:p>
      <w:pPr>
        <w:spacing w:before="1200"/>
        <w:jc w:val="center"/>
      </w:pPr>
      <w:r>
        <w:rPr>
          <w:sz w:val="26"/>
        </w:rPr>
        <w:t>TEKNOFEST NSosyal İnovasyon Yarışması 2026</w:t>
      </w:r>
    </w:p>
    <w:p>
      <w:pPr>
        <w:jc w:val="center"/>
      </w:pPr>
      <w:r>
        <w:rPr>
          <w:sz w:val="26"/>
        </w:rPr>
        <w:t>Tema: Sosyal Yapay Zekâ</w:t>
      </w:r>
    </w:p>
    <w:p>
      <w:pPr>
        <w:spacing w:before="3000"/>
        <w:jc w:val="center"/>
      </w:pPr>
      <w:r>
        <w:rPr>
          <w:b/>
          <w:sz w:val="26"/>
        </w:rPr>
        <w:t>Teknik Rapor</w:t>
      </w:r>
    </w:p>
    <w:p>
      <w:pPr>
        <w:jc w:val="center"/>
      </w:pPr>
      <w:r>
        <w:rPr>
          <w:sz w:val="24"/>
        </w:rPr>
        <w:t>24 Ağustos 2026</w:t>
      </w:r>
    </w:p>
    <w:p>
      <w:r>
        <w:br w:type="page"/>
      </w:r>
    </w:p>
    <w:p>
      <w:pPr>
        <w:pStyle w:val="Heading1"/>
      </w:pPr>
      <w:r>
        <w:t>İÇİNDEKİLER</w:t>
      </w:r>
    </w:p>
    <w:p>
      <w:r>
        <w:fldChar w:fldCharType="begin"/>
        <w:instrText xml:space="preserve">TOC \o "1-1" \h \z \u</w:instrText>
        <w:fldChar w:fldCharType="separate"/>
        <w:t>İçindekiler listesi görünmüyorsa: sağ tık &gt; Alanı Güncelle (veya F9).</w:t>
        <w:fldChar w:fldCharType="end"/>
      </w:r>
    </w:p>
    <w:p>
      <w:r>
        <w:br w:type="page"/>
      </w:r>
    </w:p>
    <w:p>
      <w:pPr>
        <w:pStyle w:val="Heading1"/>
      </w:pPr>
      <w:r>
        <w:t>PROJE ÖZETİ</w:t>
      </w:r>
    </w:p>
    <w:p>
      <w:pPr>
        <w:spacing w:before="240" w:after="80"/>
        <w:jc w:val="left"/>
      </w:pPr>
      <w:r>
        <w:rPr>
          <w:rFonts w:ascii="Arial" w:hAnsi="Arial"/>
          <w:b/>
          <w:sz w:val="25"/>
          <w:rFonts w:ascii="Arial" w:hAnsi="Arial"/>
        </w:rPr>
        <w:t>1.1. Proje Konusu ve Amacı</w:t>
      </w:r>
    </w:p>
    <w:p>
      <w:r>
        <w:t>Bu proje, NSosyal (T3 Vakfı ve Baykar Teknoloji iş birliğiyle geliştirilen, ~700 bin'i aşkın aktif kullanıcısı bulunan, reklamsız bir yerli mikroblog platformu) için duygu-duyarlı, açıklanabilir ve koruyucu bir sıralama ve şeffaflık katmanı geliştirmeyi konu alır. Sosyal medya akışlarının çoğu "en yüksek etkileşim" hedefiyle optimize edilir; bu durum olumsuz ve kutuplaştırıcı içeriğin yapısal olarak ödüllendirilmesine yol açabilir. Bu soyut bir varsayım değildir: Facebook'un kendi iç araştırması, "öfke" tepkisi taşıyan gönderilerin çok daha fazla etkileşim aldığını ortaya koymuştur [13]; bağımsız, hakemli bir çalışma ise haber başlıklarındaki her ek negatif kelimenin tıklama oranını %2,3 artırdığını nedensel olarak göstermiştir [10]; kırılgan duygu durumlarının reklamcılık amacıyla hedeflenmesinin de belgelenmiş bir emsali bulunmaktadır [14] (ayrıntılar için bkz. Bölüm 2.1). Projenin amacı, kullanıcının ilgi alanından hiç sapmadan, yalnızca o an olumsuz bir davranışsal örüntüye ("olası spiral") girip girmediğini fark eden ve buna göre içerik dozunu nazikçe ayarlayan, kararlarının tamamı denetlenebilir/açıklanabilir bir sistem sunmaktır. Proje, birincil olarak Sosyal Yapay Zekâ temasına hitap eder; açıklanabilir sıralama motoru ve şeffaflık paneli üzerinden Kullanıcı Katılımı ve Arayüz/Kullanıcı Deneyimi (UI/UX) temasına, üretici paneli önerisiyle de İçerik Ekonomisi temasına organik olarak dokunur.</w:t>
      </w:r>
    </w:p>
    <w:p>
      <w:pPr>
        <w:spacing w:before="240" w:after="80"/>
        <w:jc w:val="left"/>
      </w:pPr>
      <w:r>
        <w:rPr>
          <w:rFonts w:ascii="Arial" w:hAnsi="Arial"/>
          <w:b/>
          <w:sz w:val="25"/>
          <w:rFonts w:ascii="Arial" w:hAnsi="Arial"/>
        </w:rPr>
        <w:t>1.2. Proje Kapsamı ve Yöntemi</w:t>
      </w:r>
    </w:p>
    <w:p>
      <w:r>
        <w:t>Projenin kapsamı, NSosyal'in ana akışına eklenen üç bileşenden oluşur: (i) gönderi metninden gerçek zamanlı duygu skoru çıkaran, bağımsız olarak doğrulanmış ve ince ayarlı bir Türkçe BERT modeli; (ii) kullanıcının davranışsal sinyallerinden (durma süresi, tıklama, roket, yorum) olası bir "spiral" durumu ve olası bir psikolojik izlenim kategorisi tahmin eden, sentetik senaryo verisiyle eğitilmiş açıklanabilir sınıflandırıcılar; (iii) bu sinyalleri ilgi skoruyla birleştirip içeriği yeniden sıralayan iki katmanlı bir motor. Yöntem olarak; önce mimari sözlük-tabanlı basit bir ilk prototiple (spike) uçtan uca doğrulanmış, ardından her bileşen gerçek modellerle (BERT, lojistik regresyon/SGD) değiştirilip bağımsız olarak ölçülmüştür. Fikir yalnızca tasarım düzeyinde kalmamış; FastAPI tabanlı bir backend, gerçek zamanlı bir web arayüzü, ve isteğe bağlı bir LLM destekli haftalık öz-farkındalık raporu içeren, uçtan uca çalışan bir prototiple desteklenmiştir (bkz. Bölüm 3-4). NSosyal veya T3 AI'a gerçek bir API erişimi bulunmamaktadır; sistem bağımsız bir prototip olarak çalışır ve "önerilen entegrasyon konsepti" olarak sunulur — bu, projenin dürüstlük ilkesi gereği açıkça belirtilir.</w:t>
      </w:r>
    </w:p>
    <w:p>
      <w:r>
        <w:br w:type="page"/>
      </w:r>
    </w:p>
    <w:p>
      <w:pPr>
        <w:pStyle w:val="Heading1"/>
      </w:pPr>
      <w:r>
        <w:t>KATMA DEĞER VE YENİLİKÇİLİK</w:t>
      </w:r>
    </w:p>
    <w:p>
      <w:pPr>
        <w:spacing w:before="240" w:after="80"/>
        <w:jc w:val="left"/>
      </w:pPr>
      <w:r>
        <w:rPr>
          <w:rFonts w:ascii="Arial" w:hAnsi="Arial"/>
          <w:b/>
          <w:sz w:val="25"/>
          <w:rFonts w:ascii="Arial" w:hAnsi="Arial"/>
        </w:rPr>
        <w:t>2.1. Problem Tanımı ve Mevcut Çözümler</w:t>
      </w:r>
    </w:p>
    <w:p>
      <w:r>
        <w:t>Bölüm 1.1'de değinilen örüntünün arkasında belgelenmiş, kamuya mal olmuş kanıtlar vardır. Wall Street Journal'ın 2021'de yayımladığı "The Facebook Files" dizisi, şirketin "öfke" tepkisini 2017-2018'de algoritmada beğeniden 5 kat ağırlıklandırdığını, iç araştırmacıların bunun kutuplaştırıcı/yanlış bilgi içeren içeriği ödüllendirdiğini fark edip bu ağırlığı sonradan düşürdüğünü ortaya koymuştur [13]. Akademik tarafta, yaklaşık 105.000 haber başlığı varyasyonunun ~5,7 milyon tıklama üzerinden analiz edildiği randomize kontrollü bir çalışma, bu etkinin (%2,3'lük tıklama artışı) yalnızca bir korelasyon değil, NEDENSEL bir ilişki olduğunu göstermiştir [10]; olumsuz haberlerin sosyal medyada daha fazla paylaşıldığı da ayrıca doğrulanmıştır [11][12]. Pasif/olumsuz içerik tüketiminin kaygı ve stresle ilişkisi de literatürde tutarlı biçimde destekleniyor: 141 çalışmayı kapsayan bir meta-analiz bu ilişkiyi orta güçte doğrularken [4], doomscrolling'e odaklanan bir başka çalışma bu davranışı kaygı, stres ve kontrol kaybı hissiyle ilişkilendirmektedir [5]. Kırılganlık durumunun ticari olarak istismar edilmesinin de gerçek bir emsali vardır: 2017'de The Australian gazetesi, Facebook'un iç bir belgesinin, gençlerin ne zaman "değersiz" veya "güvensiz" hissettiğini tespit edip bunu reklam hedeflemesi için bir fırsat olarak sunduğunu haberleştirmiştir [14]. Piyasadaki mevcut çözümler ise büyük ölçüde iki eksende yetersiz kalmaktadır: (a) şeffaflık eksikliği — kullanıcı neden belirli bir içeriği gördüğünü genellikle bilmez; (b) refah-körü tasarım — sıralama yalnızca etkileşimi optimize eder, kullanıcının o anki duygusal kırılganlığını hiç hesaba katmaz.</w:t>
      </w:r>
    </w:p>
    <w:p>
      <w:pPr>
        <w:spacing w:before="240" w:after="80"/>
        <w:jc w:val="left"/>
      </w:pPr>
      <w:r>
        <w:rPr>
          <w:rFonts w:ascii="Arial" w:hAnsi="Arial"/>
          <w:b/>
          <w:sz w:val="25"/>
          <w:rFonts w:ascii="Arial" w:hAnsi="Arial"/>
        </w:rPr>
        <w:t>2.2. Çözüm Fikri, Özgünlük ve Yerlilik</w:t>
      </w:r>
    </w:p>
    <w:p>
      <w:r>
        <w:t>Geliştirilen çözüm, iki katmanlı açıklanabilir bir sıralama motorudur: ilgi skoru (kullanıcının beyan ettiği ilgi alanları) ile refah skoru (olası spiral tespit edildiğinde AYNI ilgi alanı içinde kalarak daha az tetikleyici içeriğe kayma) birleştirilir. Motorun akademik bir emsali vardır — "Collective Well-Being aware Recommendation Systems (CWB-RS)" kavramı, etkileşim optimizasyonu yerine uzun vadeli kümülatif refahı maksimize etmeyi önerir [7]; endüstri/politika düzeyinde de benzer "insan-öncelikli" sıralama ilkeleri savunulmaktadır [8]. Özgünlüğün temel kaynağı KARA KUTU olmayan bir tasarımdır: sinir ağı tabanlı gizli bir puanlama yerine, her karar (spiral seviyesi, refah cezası, final skor) denetlenebilir, açıklanabilir modellerle (lojistik regresyon/SGD) üretilir ve şeffaflık panelinde kullanıcıya gösterilir. Sistem kasıtlı olarak KONU-NÖTR tasarlanmıştır — siyasi/dini içerik kategorisine göre karar vermez, yalnızca duygusal yoğunluğa bakar; bu, hem etik açıdan hem de yerli/milli konumlandırılmış bir platform için stratejik olarak önemli bir tasarım kararıdır. Yerlilik bileşenleri somuttur: (i) NSosyal'in kendisi T3 Vakfı ve Baykar Teknoloji tarafından geliştirilen yerli bir platformdur; (ii) duygu analizi için kullanılan temel model Türkçeye özel eğitilmiştir ve bu model, bağımsız doğrulamada bulunan bir zayıflık (bkz. Bölüm 3.2) üzerine ekibimiz tarafından yeniden eğitilerek (fine-tuning) doğruluğu %69,8'den %94,3'e çıkarılmıştır — yani kullanılan yapay zekâ bileşeni yalnızca tüketilen değil, yerel olarak geliştirilen bir teknik varlıktır; (iii) NSosyal'in mevcut T3 AI bileşeni (otomatik yanıt, çok dilli yorumlama, filtreleme/moderasyon), duygu-analizi katmanımızın önerilen bir uzantısı olarak konumlandırılmıştır.</w:t>
      </w:r>
    </w:p>
    <w:p>
      <w:r>
        <w:br w:type="page"/>
      </w:r>
    </w:p>
    <w:p>
      <w:pPr>
        <w:pStyle w:val="Heading1"/>
      </w:pPr>
      <w:r>
        <w:t>TEKNOLOJİ KULLANIMI</w:t>
      </w:r>
    </w:p>
    <w:p>
      <w:pPr>
        <w:spacing w:before="240" w:after="80"/>
        <w:jc w:val="left"/>
      </w:pPr>
      <w:r>
        <w:rPr>
          <w:rFonts w:ascii="Arial" w:hAnsi="Arial"/>
          <w:b/>
          <w:sz w:val="25"/>
          <w:rFonts w:ascii="Arial" w:hAnsi="Arial"/>
        </w:rPr>
        <w:t>3.1. İzlenecek Yöntem, Altyapı ve Sürüm Kontrolü</w:t>
      </w:r>
    </w:p>
    <w:p>
      <w:r>
        <w:t>Backend Python/FastAPI ile geliştirilmiştir; duygu analizi için HuggingFace Transformers (savasy/bert-base-turkish-sentiment-cased tabanlı, ince ayarlı), sınıflandırıcılar için scikit-learn (LogisticRegression / SGDClassifier), veri işleme için NumPy/Pandas kullanılmıştır. Frontend, dwell-time takibi için tarayıcının yerel Intersection Observer API'sini kullanan sade bir JavaScript/HTML/CSS arayüzüdür. Haftalık öz-farkındalık raporu, oturum verisini okunabilir bir metne çeviren Google Gemini API'si (gemini-3.6-flash) ile üretilir; sağlayıcı seçimi bilinçlidir — Gemini'nin kart istemeyen gerçek bir ücretsiz katmanı, açıklanabilirlik ilkesiyle çelişmeyen, sağlayıcıdan bağımsız tasarlanmış bir prompt mimarisiyle kullanılmaktadır. Proje sürüm kontrolü altında geliştirilmiş, düzenli ve anlamlı commit'lerle ilerletilmiştir; kaynak kod GitHub üzerinde açık bir depoda saklanmaktadır: https://github.com/samibahar/nsosyal — depo commit geçmişiyle geliştirme sürecinin tamamını (ilk prototip aşamasından güncel sürüme kadar) takip edilebilir kılar.</w:t>
      </w:r>
    </w:p>
    <w:p>
      <w:pPr>
        <w:spacing w:before="240" w:after="80"/>
        <w:jc w:val="left"/>
      </w:pPr>
      <w:r>
        <w:rPr>
          <w:rFonts w:ascii="Arial" w:hAnsi="Arial"/>
          <w:b/>
          <w:sz w:val="25"/>
          <w:rFonts w:ascii="Arial" w:hAnsi="Arial"/>
        </w:rPr>
        <w:t>3.2. Model ve Veri Doğrulama</w:t>
      </w:r>
    </w:p>
    <w:p>
      <w:r>
        <w:t>Proje, vendor/ilk-varsayım iddialarını sorgulamadan kabul etmek yerine her bileşeni bağımsız olarak ölçme disiplinini benimser. Duygu modeli için: temel modelin kendi iddia ettiği doğruluk (%95,4) yerine, winvoker/turkish-sentiment-analysis-dataset üzerinden bağımsız 1000 örneklik bir test setiyle gerçek doğruluk ölçülmüş (%69,8, F1 0,778) ve alan kayması (domain shift) kaynaklı bu zayıflık, aynı veri setinin AYRIK bir bölümüyle (veri sızıntısı önlenerek) ~15.000 örnekle yapılan hedefli bir ince ayarla düzeltilmiştir (%94,3 doğruluk, F1 0,964 — bağımsız olarak yeniden ölçülmüştür). Spiral tespiti (olası doomscrolling örüntüsü, ikili sınıflandırma), senaryo-bazlı sentetik veriyle eğitilmiş bir lojistik regresyon modelidir (doğruluk 0,714, F1 0,748); altı açıklanabilir özellik (negatif dwell oranı, ortalama duygu, tıklama oranı vb.) kullanır ve öğrenilen katsayılar denetlenebilir durumdadır. Beş kategorili psikolojik izlenim sınıflandırıcısı (sakin/mutluluk/umut/sinirli/anksiyete) StandardScaler ile ölçeklenmiş bir SGDClassifier'dır (F1 makro 0,704). Aşırı öğrenmeyi (overfitting) önlemek için: tüm modellerde stratified train/test ayrımı, fine-tuning ve bağımsız doğrulama için birbirinden TAMAMEN ayrık veri bölümleri, ve %10 kasıtlı etiket gürültüsü (gerçek dünyada sınırların asla net olmadığını modellemek için) kullanılmıştır. Modelin gerçek performansını iddia etmek yerine SÜREKLİ ölçmek için, kullanıcıya ara sıra hafif bir onay sorusu ("şu an gerçekte nasıl hissediyorsun?") sorulur ve cevap modelin O ANKİ tahminiyle karşılaştırılır; bu mekanizma psikolojideki Ecological Momentary Assessment (EMA) yönteminin bağımsız bir uygulamasıdır [1][2]; literatür bu tür tekrarlı öz-bildirim sorgularının kullanıcı yorgunluğuna (fatigue) yol açabileceğini de not eder [3], bu yüzden soru sıklığı bilinçli olarak düşük (her ~8 etkileşimde bir) tutulmuştur.</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rFonts w:ascii="Arial" w:hAnsi="Arial"/>
                <w:b/>
                <w:sz w:val="21"/>
              </w:rPr>
              <w:t>Bileşen</w:t>
            </w:r>
          </w:p>
        </w:tc>
        <w:tc>
          <w:tcPr>
            <w:tcW w:type="dxa" w:w="3135"/>
          </w:tcPr>
          <w:p>
            <w:r/>
            <w:r>
              <w:rPr>
                <w:rFonts w:ascii="Arial" w:hAnsi="Arial"/>
                <w:b/>
                <w:sz w:val="21"/>
              </w:rPr>
              <w:t>Ölçülen sonuç</w:t>
            </w:r>
          </w:p>
        </w:tc>
        <w:tc>
          <w:tcPr>
            <w:tcW w:type="dxa" w:w="3135"/>
          </w:tcPr>
          <w:p>
            <w:r/>
            <w:r>
              <w:rPr>
                <w:rFonts w:ascii="Arial" w:hAnsi="Arial"/>
                <w:b/>
                <w:sz w:val="21"/>
              </w:rPr>
              <w:t>Doğrulama yöntemi</w:t>
            </w:r>
          </w:p>
        </w:tc>
      </w:tr>
      <w:tr>
        <w:tc>
          <w:tcPr>
            <w:tcW w:type="dxa" w:w="3135"/>
          </w:tcPr>
          <w:p>
            <w:r/>
            <w:r>
              <w:rPr>
                <w:rFonts w:ascii="Arial" w:hAnsi="Arial"/>
                <w:sz w:val="21"/>
              </w:rPr>
              <w:t>Duygu modeli (BERT)</w:t>
            </w:r>
          </w:p>
        </w:tc>
        <w:tc>
          <w:tcPr>
            <w:tcW w:type="dxa" w:w="3135"/>
          </w:tcPr>
          <w:p>
            <w:r/>
            <w:r>
              <w:rPr>
                <w:rFonts w:ascii="Arial" w:hAnsi="Arial"/>
                <w:sz w:val="21"/>
              </w:rPr>
              <w:t>%94,3 doğruluk (ince ayar sonrası, %69,8'den)</w:t>
            </w:r>
          </w:p>
        </w:tc>
        <w:tc>
          <w:tcPr>
            <w:tcW w:type="dxa" w:w="3135"/>
          </w:tcPr>
          <w:p>
            <w:r/>
            <w:r>
              <w:rPr>
                <w:rFonts w:ascii="Arial" w:hAnsi="Arial"/>
                <w:sz w:val="21"/>
              </w:rPr>
              <w:t>Bağımsız 1000 örnek, vendor iddiasından ayrı ölçüldü</w:t>
            </w:r>
          </w:p>
        </w:tc>
      </w:tr>
      <w:tr>
        <w:tc>
          <w:tcPr>
            <w:tcW w:type="dxa" w:w="3135"/>
          </w:tcPr>
          <w:p>
            <w:r/>
            <w:r>
              <w:rPr>
                <w:rFonts w:ascii="Arial" w:hAnsi="Arial"/>
                <w:sz w:val="21"/>
              </w:rPr>
              <w:t>Spiral tespiti</w:t>
            </w:r>
          </w:p>
        </w:tc>
        <w:tc>
          <w:tcPr>
            <w:tcW w:type="dxa" w:w="3135"/>
          </w:tcPr>
          <w:p>
            <w:r/>
            <w:r>
              <w:rPr>
                <w:rFonts w:ascii="Arial" w:hAnsi="Arial"/>
                <w:sz w:val="21"/>
              </w:rPr>
              <w:t>Doğruluk 0,714 / F1 0,748</w:t>
            </w:r>
          </w:p>
        </w:tc>
        <w:tc>
          <w:tcPr>
            <w:tcW w:type="dxa" w:w="3135"/>
          </w:tcPr>
          <w:p>
            <w:r/>
            <w:r>
              <w:rPr>
                <w:rFonts w:ascii="Arial" w:hAnsi="Arial"/>
                <w:sz w:val="21"/>
              </w:rPr>
              <w:t>Stratified train/test, senaryo verisi</w:t>
            </w:r>
          </w:p>
        </w:tc>
      </w:tr>
      <w:tr>
        <w:tc>
          <w:tcPr>
            <w:tcW w:type="dxa" w:w="3135"/>
          </w:tcPr>
          <w:p>
            <w:r/>
            <w:r>
              <w:rPr>
                <w:rFonts w:ascii="Arial" w:hAnsi="Arial"/>
                <w:sz w:val="21"/>
              </w:rPr>
              <w:t>Psikolojik izlenim (5 kategori)</w:t>
            </w:r>
          </w:p>
        </w:tc>
        <w:tc>
          <w:tcPr>
            <w:tcW w:type="dxa" w:w="3135"/>
          </w:tcPr>
          <w:p>
            <w:r/>
            <w:r>
              <w:rPr>
                <w:rFonts w:ascii="Arial" w:hAnsi="Arial"/>
                <w:sz w:val="21"/>
              </w:rPr>
              <w:t>F1 makro 0,704</w:t>
            </w:r>
          </w:p>
        </w:tc>
        <w:tc>
          <w:tcPr>
            <w:tcW w:type="dxa" w:w="3135"/>
          </w:tcPr>
          <w:p>
            <w:r/>
            <w:r>
              <w:rPr>
                <w:rFonts w:ascii="Arial" w:hAnsi="Arial"/>
                <w:sz w:val="21"/>
              </w:rPr>
              <w:t>Ölçek düzeltmesi (StandardScaler) ile 0,686'dan iyileştirildi</w:t>
            </w:r>
          </w:p>
        </w:tc>
      </w:tr>
      <w:tr>
        <w:tc>
          <w:tcPr>
            <w:tcW w:type="dxa" w:w="3135"/>
          </w:tcPr>
          <w:p>
            <w:r/>
            <w:r>
              <w:rPr>
                <w:rFonts w:ascii="Arial" w:hAnsi="Arial"/>
                <w:sz w:val="21"/>
              </w:rPr>
              <w:t>Kendi kendini doğrulama döngüsü</w:t>
            </w:r>
          </w:p>
        </w:tc>
        <w:tc>
          <w:tcPr>
            <w:tcW w:type="dxa" w:w="3135"/>
          </w:tcPr>
          <w:p>
            <w:r/>
            <w:r>
              <w:rPr>
                <w:rFonts w:ascii="Arial" w:hAnsi="Arial"/>
                <w:sz w:val="21"/>
              </w:rPr>
              <w:t>Canlı test edildi, çalışır durumda</w:t>
            </w:r>
          </w:p>
        </w:tc>
        <w:tc>
          <w:tcPr>
            <w:tcW w:type="dxa" w:w="3135"/>
          </w:tcPr>
          <w:p>
            <w:r/>
            <w:r>
              <w:rPr>
                <w:rFonts w:ascii="Arial" w:hAnsi="Arial"/>
                <w:sz w:val="21"/>
              </w:rPr>
              <w:t>Gerçek etkileşimde model tahmini ile kullanıcı onayı eşleşti</w:t>
            </w:r>
          </w:p>
        </w:tc>
      </w:tr>
    </w:tbl>
    <w:p/>
    <w:p>
      <w:pPr>
        <w:spacing w:before="240" w:after="80"/>
        <w:jc w:val="left"/>
      </w:pPr>
      <w:r>
        <w:rPr>
          <w:rFonts w:ascii="Arial" w:hAnsi="Arial"/>
          <w:b/>
          <w:sz w:val="25"/>
          <w:rFonts w:ascii="Arial" w:hAnsi="Arial"/>
        </w:rPr>
        <w:t>3.3. Kullanıcı Deneyimi (UI/UX) Tasarımı</w:t>
      </w:r>
    </w:p>
    <w:p>
      <w:r>
        <w:t>Arayüz, NSosyal'in mevcut zaman akışı (timeline) mantığına sadık kalacak şekilde tasarlanmıştır: her gönderi kartında "Neden bunu görüyorsun?" butonuyla açılan bir şeffaflık paneli, ilgi skoru/refah cezası/final skoru gösterir. "Tespit edilen durum" göstergesi yükseldikçe akışın renk doygunluğu kademeli olarak (kullanıcı isteğiyle açılıp kapatılabilir bir anahtarla) azalır — engelleyici değil, fark ettirici bir sinyal olarak tasarlanmıştır. Kullanılabilirlik testleri sırasında (gerçek kullanım denemeleriyle) birden fazla somut sorun tespit edilip düzeltilmiştir: aynı gönderiye art arda etkileşim (roket sonra kaydırıp uzaklaşma) önceden sinyali sessizce eziyordu, sinyal birleştirme mantığıyla giderildi; çok kısa/edilgen bir görünme (&lt;0,6sn) tam bir gözlem gibi sayılıp barları saptırıyordu, etkileşim-ağırlıklı ortalamayla düzeltildi; ilk sürümde sayfalama sığ kalıyordu, gerçek sonsuz-kaydırma (infinite scroll) ile 150 örnek gönderiye genişletildi. Erişilebilirlik açısından: tüm renk kodlu göstergeler (spiral seviyesi, kategori barları) aynı zamanda metinsel etiket taşır (yalnızca renge dayanmaz), ve şeffaflık paneli literatürdeki "az ama net" ilkesine uygun kısa/öz tutulmuştur — aşırı detaylı açıklamaların kullanıcı güvenini azaltabileceği ("algorithmic aversion") bulgusuyla uyumludur [9].</w:t>
      </w:r>
    </w:p>
    <w:p>
      <w:r>
        <w:br w:type="page"/>
      </w:r>
    </w:p>
    <w:p>
      <w:pPr>
        <w:pStyle w:val="Heading1"/>
      </w:pPr>
      <w:r>
        <w:t>UYGULANABİLİRLİK</w:t>
      </w:r>
    </w:p>
    <w:p>
      <w:pPr>
        <w:spacing w:before="240" w:after="80"/>
        <w:jc w:val="left"/>
      </w:pPr>
      <w:r>
        <w:rPr>
          <w:rFonts w:ascii="Arial" w:hAnsi="Arial"/>
          <w:b/>
          <w:sz w:val="25"/>
          <w:rFonts w:ascii="Arial" w:hAnsi="Arial"/>
        </w:rPr>
        <w:t>4.1. Verimlilik ve Etkinlik</w:t>
      </w:r>
    </w:p>
    <w:p>
      <w:r>
        <w:t>Sistemin sıralama/tespit katmanı bilinçli olarak hafif ve açıklanabilir modeller (lojistik regresyon, SGD) üzerine kurulmuştur — büyük dil modelleri düzeyinde hesaplama maliyeti taşımaz; yalnızca isteğe bağlı haftalık rapor üretiminde bir LLM çağrısı kullanılır. Bu, platforma milyonlarca etkileşimde dahi düşük işletme maliyetiyle ölçeklenebilirlik sağlar. Etkinlik açısından, refah katmanının içeriği ELEMEDEN yalnızca yumuşattığı somut olarak gösterilmiştir: kullanıcı testinde spiral seviyesi yükseldiğinde negatif içerik final skorunda ölçülebilir bir ceza alıp sırada geriye düşerken, kullanıcının ilgi alanı hiç terk edilmemiştir.</w:t>
      </w:r>
    </w:p>
    <w:p>
      <w:pPr>
        <w:spacing w:before="240" w:after="80"/>
        <w:jc w:val="left"/>
      </w:pPr>
      <w:r>
        <w:rPr>
          <w:rFonts w:ascii="Arial" w:hAnsi="Arial"/>
          <w:b/>
          <w:sz w:val="25"/>
          <w:rFonts w:ascii="Arial" w:hAnsi="Arial"/>
        </w:rPr>
        <w:t>4.2. Hedef Kitle</w:t>
      </w:r>
    </w:p>
    <w:p>
      <w:r>
        <w:t>Doğrudan hedef kitle, NSosyal'in ~700 bin'i aşkın aktif kullanıcısıdır — özellikle gündem/haber içeriğiyle yoğun etkileşime giren, uzun oturumlar geçiren kullanıcı segmenti. Dolaylı olarak, sistemin ürettiği şeffaflık ve refah verileri içerik üreticileri (üretici paneli önerisi) ve platform yöneticileri için de değer taşır. Genel olarak çözüm, tasarımı gereği herhangi bir sosyal medya platformuna uyarlanabilir bir mimari sunduğundan hedef kitle NSosyal ile sınırlı kalmayan bir büyüme potansiyeline sahiptir.</w:t>
      </w:r>
    </w:p>
    <w:p>
      <w:pPr>
        <w:spacing w:before="240" w:after="80"/>
        <w:jc w:val="left"/>
      </w:pPr>
      <w:r>
        <w:rPr>
          <w:rFonts w:ascii="Arial" w:hAnsi="Arial"/>
          <w:b/>
          <w:sz w:val="25"/>
          <w:rFonts w:ascii="Arial" w:hAnsi="Arial"/>
        </w:rPr>
        <w:t>4.3. Teknolojik Yenilik ve Uygulanabilirlik</w:t>
      </w:r>
    </w:p>
    <w:p>
      <w:r>
        <w:t>Ürün, fikir düzeyinde kalmayıp uçtan uca çalışan bir prototiple desteklenmiştir: gerçek bir BERT modeli, eğitilmiş sınıflandırıcılar, çalışan bir backend/API, gerçek zamanlı bir arayüz ve canlı test edilmiş bir LLM entegrasyonu içerir. Teknolojik yenilik düzeyi, tek bir modelin doğruluğunda değil, İKİ AYRI davranış modelinin (spiral tespiti ve psikolojik izlenim) birbirinden bağımsız çalışıp yalnızca biri sıralamayı etkileyecek şekilde tasarlanmasında, ve kendi kendini doğrulama döngüsüyle modelin gerçek performansının sürekli ölçülmesinde yatar. Mimari, yeni sinyaller (örn. ek etkileşim türleri) veya yeni kategoriler eklemeye açık, ölçeklenebilir bir yapıya sahiptir; kişiselleştirme mekanizması (online öğrenme, bkz. Bölüm 6.2) bu ölçeklenebilirliğin somut bir kanıtıdır.</w:t>
      </w:r>
    </w:p>
    <w:p>
      <w:r>
        <w:br w:type="page"/>
      </w:r>
    </w:p>
    <w:p>
      <w:pPr>
        <w:pStyle w:val="Heading1"/>
      </w:pPr>
      <w:r>
        <w:t>YAYGIN ETKİ</w:t>
      </w:r>
    </w:p>
    <w:p>
      <w:pPr>
        <w:spacing w:before="240" w:after="80"/>
        <w:jc w:val="left"/>
      </w:pPr>
      <w:r>
        <w:rPr>
          <w:rFonts w:ascii="Arial" w:hAnsi="Arial"/>
          <w:b/>
          <w:sz w:val="25"/>
          <w:rFonts w:ascii="Arial" w:hAnsi="Arial"/>
        </w:rPr>
        <w:t>5.1. Toplumsal Fayda ve Erişim Potansiyeli</w:t>
      </w:r>
    </w:p>
    <w:p>
      <w:r>
        <w:t>Proje, sosyal medya kullanımının olası olumsuz duygusal etkilerini azaltmaya yönelik somut, ölçülebilir bir katkı sunar. Toplumsal fayda üç düzeyde değerlendirilebilir: (i) bireysel düzeyde, haftalık öz-farkındalık raporu kullanıcıya kendi dijital alışkanlıkları hakkında olası örüntüleri (teşhis değil) gösterir ve isteğe bağlı olarak bir ruh sağlığı uzmanına götürülebilecek, yorumsuz bir ham veri özeti üretebilir; (ii) platform düzeyinde, refah-farkında sıralama yaklaşımının akademik emsali [7][8] literatürde giderek daha fazla destek bulmaktadır; (iii) toplumsal düzeyde, konu-nötr ve reklam-manipülasyonuna kapalı tasarım ilkesi (bkz. Bölüm 2.2), yerli bir platformun kullanıcı refahını önceleyen bir marka değeri inşa etmesine katkı sağlayabilir. Erişim potansiyeli, sistemin NSosyal'in mevcut kullanıcı tabanının tamamına (herhangi bir ek donanım veya kullanıcı eğitimi gerektirmeden, arka planda çalışan bir katman olarak) doğrudan ulaşabilecek şekilde tasarlanmış olmasından kaynaklanır.</w:t>
      </w:r>
    </w:p>
    <w:p>
      <w:r>
        <w:br w:type="page"/>
      </w:r>
    </w:p>
    <w:p>
      <w:pPr>
        <w:pStyle w:val="Heading1"/>
      </w:pPr>
      <w:r>
        <w:t>SÜRDÜRÜLEBİLİRLİK</w:t>
      </w:r>
    </w:p>
    <w:p>
      <w:pPr>
        <w:spacing w:before="240" w:after="80"/>
        <w:jc w:val="left"/>
      </w:pPr>
      <w:r>
        <w:rPr>
          <w:rFonts w:ascii="Arial" w:hAnsi="Arial"/>
          <w:b/>
          <w:sz w:val="25"/>
          <w:rFonts w:ascii="Arial" w:hAnsi="Arial"/>
        </w:rPr>
        <w:t>6.1. Ticarileştirme Potansiyeli ve İş Modeli</w:t>
      </w:r>
    </w:p>
    <w:p>
      <w:r>
        <w:t>NSosyal vakıf tabanlı ve reklamsız bir platform olduğundan klasik reklam gelirine dayalı bir model zorlanmamıştır; bunun yerine dört tamamlayıcı yön önerilmektedir: (i) düşük işletme maliyeti — hafif/açıklanabilir modeller büyük dil modelleri kadar pahalı değildir, bu doğrudan bir maliyet avantajına dönüşür; (ii) anonim/toplu "dijital refah eğilimleri" verisiyle üniversite, TÜBİTAK veya ruh sağlığı sivil toplum kuruluşlarıyla araştırma ortaklığı (kişisel veri paylaşılmadan, yalnızca toplu istatistik düzeyinde); (iii) "dijital-refah-öncelikli platform" marka değeri üzerinden kurumsal sponsorluk; (iv) mevcut roket sistemine benzer, gönüllülük esaslı opsiyonel destek/bağış mekanizması. Bu model, ürünün mevcut pazar şartlarında (vakıf-destekli, reklamsız yerli platform bağlamında) üretilebilir olmasını gerçekçi bir temele oturtur.</w:t>
      </w:r>
    </w:p>
    <w:p>
      <w:pPr>
        <w:spacing w:before="240" w:after="80"/>
        <w:jc w:val="left"/>
      </w:pPr>
      <w:r>
        <w:rPr>
          <w:rFonts w:ascii="Arial" w:hAnsi="Arial"/>
          <w:b/>
          <w:sz w:val="25"/>
          <w:rFonts w:ascii="Arial" w:hAnsi="Arial"/>
        </w:rPr>
        <w:t>6.2. Finansal, Teknik ve Sosyal Sürdürülebilirlik</w:t>
      </w:r>
    </w:p>
    <w:p>
      <w:r>
        <w:t>Finansal sürdürülebilirlik, düşük işletme maliyetli mimari tercihinden (büyük/pahalı modeller yerine açıklanabilir, hafif sınıflandırıcılar) doğrudan gelir. Teknik sürdürülebilirlik için, sistemin kişiselleştirme mekanizması (SGDClassifier'ın partial_fit özelliğiyle çevrimiçi öğrenme) örnek bir kanıt-of-konsept olarak uygulanmış ve dürüstçe sınırları belirtilmiştir. Literatür, davranıştan duygu-durumu çıkarımının meşru ama kişiye-özgü kalibrasyon olmadan sınırlı kaldığını göstermektedir [6]; kişiselleştirme mekanizması tam olarak bu ihtiyaca yönelik bir ilk adımdır. Demo ortamında öğrenme adımı görünür olması için kasıtlı büyütülmüştür, gerçek üretimde çok daha küçük bir adım büyüklüğü ve düzenlileştirme/sınır (clipping) eklenmesi gerektiği açıkça not edilmiştir — bu, değişen kullanıcı ihtiyaçlarına zamanla uyum sağlayabilecek bir temel sunar. Sosyal sürdürülebilirlik açısından, modelin sınırlılıkları (sentetik eğitim verisi, klinik doğrulama eksikliği) raporun her aşamasında dürüstçe belirtilmiş, kendi kendini doğrulama döngüsüyle sistemin zamanla gerçek kullanıcı geri bildirimiyle kalibre edilebilecek bir altyapı kurulmuştur; bu, kullanıcı güveninin uzun vadede korunmasını destekler.</w:t>
      </w:r>
    </w:p>
    <w:p>
      <w:r>
        <w:br w:type="page"/>
      </w:r>
    </w:p>
    <w:p>
      <w:pPr>
        <w:pStyle w:val="Heading1"/>
      </w:pPr>
      <w:r>
        <w:t>PROJE TAKVİMİ</w:t>
      </w:r>
    </w:p>
    <w:p>
      <w:pPr>
        <w:spacing w:before="240" w:after="80"/>
        <w:jc w:val="left"/>
      </w:pPr>
      <w:r>
        <w:rPr>
          <w:rFonts w:ascii="Arial" w:hAnsi="Arial"/>
          <w:b/>
          <w:sz w:val="25"/>
          <w:rFonts w:ascii="Arial" w:hAnsi="Arial"/>
        </w:rPr>
        <w:t>7.1. İş Paketleri ve Zamanlama</w:t>
      </w:r>
    </w:p>
    <w:p>
      <w:r>
        <w:t>Aşağıdaki takvim, yarışma takvimiyle (Teknik Rapor Teslimi: 24 Ağustos 2026; Mentörlük Süreci: 2-7 Eylül 2026; Final Sunumları: 14 Eylül 2026) çelişmeyecek şekilde planlanmıştır. Tamamlanan iş paketleri, bu raporun dayandığı çalışan prototipi kapsar; ilerleyen iş paketleri mentörlük ve final aşamasına hazırlığı hedefler.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Arial" w:hAnsi="Arial"/>
                <w:b/>
                <w:sz w:val="21"/>
              </w:rPr>
              <w:t>İş Paketi</w:t>
            </w:r>
          </w:p>
        </w:tc>
        <w:tc>
          <w:tcPr>
            <w:tcW w:type="dxa" w:w="2351"/>
          </w:tcPr>
          <w:p>
            <w:r/>
            <w:r>
              <w:rPr>
                <w:rFonts w:ascii="Arial" w:hAnsi="Arial"/>
                <w:b/>
                <w:sz w:val="21"/>
              </w:rPr>
              <w:t>Kapsam</w:t>
            </w:r>
          </w:p>
        </w:tc>
        <w:tc>
          <w:tcPr>
            <w:tcW w:type="dxa" w:w="2351"/>
          </w:tcPr>
          <w:p>
            <w:r/>
            <w:r>
              <w:rPr>
                <w:rFonts w:ascii="Arial" w:hAnsi="Arial"/>
                <w:b/>
                <w:sz w:val="21"/>
              </w:rPr>
              <w:t>Dönem</w:t>
            </w:r>
          </w:p>
        </w:tc>
        <w:tc>
          <w:tcPr>
            <w:tcW w:type="dxa" w:w="2351"/>
          </w:tcPr>
          <w:p>
            <w:r/>
            <w:r>
              <w:rPr>
                <w:rFonts w:ascii="Arial" w:hAnsi="Arial"/>
                <w:b/>
                <w:sz w:val="21"/>
              </w:rPr>
              <w:t>Durum</w:t>
            </w:r>
          </w:p>
        </w:tc>
      </w:tr>
      <w:tr>
        <w:tc>
          <w:tcPr>
            <w:tcW w:type="dxa" w:w="2351"/>
          </w:tcPr>
          <w:p>
            <w:r/>
            <w:r>
              <w:rPr>
                <w:rFonts w:ascii="Arial" w:hAnsi="Arial"/>
                <w:sz w:val="21"/>
              </w:rPr>
              <w:t>İP1 — Mimari ve ilk prototip</w:t>
            </w:r>
          </w:p>
        </w:tc>
        <w:tc>
          <w:tcPr>
            <w:tcW w:type="dxa" w:w="2351"/>
          </w:tcPr>
          <w:p>
            <w:r/>
            <w:r>
              <w:rPr>
                <w:rFonts w:ascii="Arial" w:hAnsi="Arial"/>
                <w:sz w:val="21"/>
              </w:rPr>
              <w:t>İki katmanlı sıralama motoru, spiral/psikolojik model tasarımı, sözlük-tabanlı ilk doğrulama</w:t>
            </w:r>
          </w:p>
        </w:tc>
        <w:tc>
          <w:tcPr>
            <w:tcW w:type="dxa" w:w="2351"/>
          </w:tcPr>
          <w:p>
            <w:r/>
            <w:r>
              <w:rPr>
                <w:rFonts w:ascii="Arial" w:hAnsi="Arial"/>
                <w:sz w:val="21"/>
              </w:rPr>
              <w:t>Ağustos (1. hafta)</w:t>
            </w:r>
          </w:p>
        </w:tc>
        <w:tc>
          <w:tcPr>
            <w:tcW w:type="dxa" w:w="2351"/>
          </w:tcPr>
          <w:p>
            <w:r/>
            <w:r>
              <w:rPr>
                <w:rFonts w:ascii="Arial" w:hAnsi="Arial"/>
                <w:sz w:val="21"/>
              </w:rPr>
              <w:t>Tamamlandı</w:t>
            </w:r>
          </w:p>
        </w:tc>
      </w:tr>
      <w:tr>
        <w:tc>
          <w:tcPr>
            <w:tcW w:type="dxa" w:w="2351"/>
          </w:tcPr>
          <w:p>
            <w:r/>
            <w:r>
              <w:rPr>
                <w:rFonts w:ascii="Arial" w:hAnsi="Arial"/>
                <w:sz w:val="21"/>
              </w:rPr>
              <w:t>İP2 — Gerçek model entegrasyonu</w:t>
            </w:r>
          </w:p>
        </w:tc>
        <w:tc>
          <w:tcPr>
            <w:tcW w:type="dxa" w:w="2351"/>
          </w:tcPr>
          <w:p>
            <w:r/>
            <w:r>
              <w:rPr>
                <w:rFonts w:ascii="Arial" w:hAnsi="Arial"/>
                <w:sz w:val="21"/>
              </w:rPr>
              <w:t>BERT entegrasyonu, bağımsız doğrulama, ince ayar, sınıflandırıcı eğitimi</w:t>
            </w:r>
          </w:p>
        </w:tc>
        <w:tc>
          <w:tcPr>
            <w:tcW w:type="dxa" w:w="2351"/>
          </w:tcPr>
          <w:p>
            <w:r/>
            <w:r>
              <w:rPr>
                <w:rFonts w:ascii="Arial" w:hAnsi="Arial"/>
                <w:sz w:val="21"/>
              </w:rPr>
              <w:t>Ağustos (2. hafta)</w:t>
            </w:r>
          </w:p>
        </w:tc>
        <w:tc>
          <w:tcPr>
            <w:tcW w:type="dxa" w:w="2351"/>
          </w:tcPr>
          <w:p>
            <w:r/>
            <w:r>
              <w:rPr>
                <w:rFonts w:ascii="Arial" w:hAnsi="Arial"/>
                <w:sz w:val="21"/>
              </w:rPr>
              <w:t>Tamamlandı</w:t>
            </w:r>
          </w:p>
        </w:tc>
      </w:tr>
      <w:tr>
        <w:tc>
          <w:tcPr>
            <w:tcW w:type="dxa" w:w="2351"/>
          </w:tcPr>
          <w:p>
            <w:r/>
            <w:r>
              <w:rPr>
                <w:rFonts w:ascii="Arial" w:hAnsi="Arial"/>
                <w:sz w:val="21"/>
              </w:rPr>
              <w:t>İP3 — Backend/arayüz ve kullanıcı testi</w:t>
            </w:r>
          </w:p>
        </w:tc>
        <w:tc>
          <w:tcPr>
            <w:tcW w:type="dxa" w:w="2351"/>
          </w:tcPr>
          <w:p>
            <w:r/>
            <w:r>
              <w:rPr>
                <w:rFonts w:ascii="Arial" w:hAnsi="Arial"/>
                <w:sz w:val="21"/>
              </w:rPr>
              <w:t>FastAPI backend, web arayüzü, kullanılabilirlik testleri ve düzeltmeler</w:t>
            </w:r>
          </w:p>
        </w:tc>
        <w:tc>
          <w:tcPr>
            <w:tcW w:type="dxa" w:w="2351"/>
          </w:tcPr>
          <w:p>
            <w:r/>
            <w:r>
              <w:rPr>
                <w:rFonts w:ascii="Arial" w:hAnsi="Arial"/>
                <w:sz w:val="21"/>
              </w:rPr>
              <w:t>Ağustos (2-3. hafta)</w:t>
            </w:r>
          </w:p>
        </w:tc>
        <w:tc>
          <w:tcPr>
            <w:tcW w:type="dxa" w:w="2351"/>
          </w:tcPr>
          <w:p>
            <w:r/>
            <w:r>
              <w:rPr>
                <w:rFonts w:ascii="Arial" w:hAnsi="Arial"/>
                <w:sz w:val="21"/>
              </w:rPr>
              <w:t>Tamamlandı</w:t>
            </w:r>
          </w:p>
        </w:tc>
      </w:tr>
      <w:tr>
        <w:tc>
          <w:tcPr>
            <w:tcW w:type="dxa" w:w="2351"/>
          </w:tcPr>
          <w:p>
            <w:r/>
            <w:r>
              <w:rPr>
                <w:rFonts w:ascii="Arial" w:hAnsi="Arial"/>
                <w:sz w:val="21"/>
              </w:rPr>
              <w:t>İP4 — Şeffaflık, rapor ve doğrulama döngüsü</w:t>
            </w:r>
          </w:p>
        </w:tc>
        <w:tc>
          <w:tcPr>
            <w:tcW w:type="dxa" w:w="2351"/>
          </w:tcPr>
          <w:p>
            <w:r/>
            <w:r>
              <w:rPr>
                <w:rFonts w:ascii="Arial" w:hAnsi="Arial"/>
                <w:sz w:val="21"/>
              </w:rPr>
              <w:t>LLM destekli haftalık rapor, kendi kendini doğrulama döngüsü, kişiselleştirme</w:t>
            </w:r>
          </w:p>
        </w:tc>
        <w:tc>
          <w:tcPr>
            <w:tcW w:type="dxa" w:w="2351"/>
          </w:tcPr>
          <w:p>
            <w:r/>
            <w:r>
              <w:rPr>
                <w:rFonts w:ascii="Arial" w:hAnsi="Arial"/>
                <w:sz w:val="21"/>
              </w:rPr>
              <w:t>Ağustos (3. hafta)</w:t>
            </w:r>
          </w:p>
        </w:tc>
        <w:tc>
          <w:tcPr>
            <w:tcW w:type="dxa" w:w="2351"/>
          </w:tcPr>
          <w:p>
            <w:r/>
            <w:r>
              <w:rPr>
                <w:rFonts w:ascii="Arial" w:hAnsi="Arial"/>
                <w:sz w:val="21"/>
              </w:rPr>
              <w:t>Tamamlandı</w:t>
            </w:r>
          </w:p>
        </w:tc>
      </w:tr>
      <w:tr>
        <w:tc>
          <w:tcPr>
            <w:tcW w:type="dxa" w:w="2351"/>
          </w:tcPr>
          <w:p>
            <w:r/>
            <w:r>
              <w:rPr>
                <w:rFonts w:ascii="Arial" w:hAnsi="Arial"/>
                <w:sz w:val="21"/>
              </w:rPr>
              <w:t>İP5 — Teknik rapor ve sürüm kontrolü</w:t>
            </w:r>
          </w:p>
        </w:tc>
        <w:tc>
          <w:tcPr>
            <w:tcW w:type="dxa" w:w="2351"/>
          </w:tcPr>
          <w:p>
            <w:r/>
            <w:r>
              <w:rPr>
                <w:rFonts w:ascii="Arial" w:hAnsi="Arial"/>
                <w:sz w:val="21"/>
              </w:rPr>
              <w:t>Teknik rapor yazımı, GitHub deposunun düzenlenmesi ve teslimi</w:t>
            </w:r>
          </w:p>
        </w:tc>
        <w:tc>
          <w:tcPr>
            <w:tcW w:type="dxa" w:w="2351"/>
          </w:tcPr>
          <w:p>
            <w:r/>
            <w:r>
              <w:rPr>
                <w:rFonts w:ascii="Arial" w:hAnsi="Arial"/>
                <w:sz w:val="21"/>
              </w:rPr>
              <w:t>24 Ağustos 2026'ya kadar</w:t>
            </w:r>
          </w:p>
        </w:tc>
        <w:tc>
          <w:tcPr>
            <w:tcW w:type="dxa" w:w="2351"/>
          </w:tcPr>
          <w:p>
            <w:r/>
            <w:r>
              <w:rPr>
                <w:rFonts w:ascii="Arial" w:hAnsi="Arial"/>
                <w:sz w:val="21"/>
              </w:rPr>
              <w:t>Tamamlandı</w:t>
            </w:r>
          </w:p>
        </w:tc>
      </w:tr>
      <w:tr>
        <w:tc>
          <w:tcPr>
            <w:tcW w:type="dxa" w:w="2351"/>
          </w:tcPr>
          <w:p>
            <w:r/>
            <w:r>
              <w:rPr>
                <w:rFonts w:ascii="Arial" w:hAnsi="Arial"/>
                <w:sz w:val="21"/>
              </w:rPr>
              <w:t>İP6 — Mentörlük geri bildirimlerinin uygulanması</w:t>
            </w:r>
          </w:p>
        </w:tc>
        <w:tc>
          <w:tcPr>
            <w:tcW w:type="dxa" w:w="2351"/>
          </w:tcPr>
          <w:p>
            <w:r/>
            <w:r>
              <w:rPr>
                <w:rFonts w:ascii="Arial" w:hAnsi="Arial"/>
                <w:sz w:val="21"/>
              </w:rPr>
              <w:t>Mentör önerileri doğrultusunda model/mimari iyileştirmeleri</w:t>
            </w:r>
          </w:p>
        </w:tc>
        <w:tc>
          <w:tcPr>
            <w:tcW w:type="dxa" w:w="2351"/>
          </w:tcPr>
          <w:p>
            <w:r/>
            <w:r>
              <w:rPr>
                <w:rFonts w:ascii="Arial" w:hAnsi="Arial"/>
                <w:sz w:val="21"/>
              </w:rPr>
              <w:t>2-7 Eylül 2026</w:t>
            </w:r>
          </w:p>
        </w:tc>
        <w:tc>
          <w:tcPr>
            <w:tcW w:type="dxa" w:w="2351"/>
          </w:tcPr>
          <w:p>
            <w:r/>
            <w:r>
              <w:rPr>
                <w:rFonts w:ascii="Arial" w:hAnsi="Arial"/>
                <w:sz w:val="21"/>
              </w:rPr>
              <w:t>Planlandı</w:t>
            </w:r>
          </w:p>
        </w:tc>
      </w:tr>
      <w:tr>
        <w:tc>
          <w:tcPr>
            <w:tcW w:type="dxa" w:w="2351"/>
          </w:tcPr>
          <w:p>
            <w:r/>
            <w:r>
              <w:rPr>
                <w:rFonts w:ascii="Arial" w:hAnsi="Arial"/>
                <w:sz w:val="21"/>
              </w:rPr>
              <w:t>İP7 — Kişiye-özgü kalibrasyon ve genişletme</w:t>
            </w:r>
          </w:p>
        </w:tc>
        <w:tc>
          <w:tcPr>
            <w:tcW w:type="dxa" w:w="2351"/>
          </w:tcPr>
          <w:p>
            <w:r/>
            <w:r>
              <w:rPr>
                <w:rFonts w:ascii="Arial" w:hAnsi="Arial"/>
                <w:sz w:val="21"/>
              </w:rPr>
              <w:t>Kişiselleştirme mekanizmasının düzenlileştirme ile güçlendirilmesi, gelecek-vizyonu özelliklerinin (Perspektif Köprüsü vb.) fizibilite çalışması</w:t>
            </w:r>
          </w:p>
        </w:tc>
        <w:tc>
          <w:tcPr>
            <w:tcW w:type="dxa" w:w="2351"/>
          </w:tcPr>
          <w:p>
            <w:r/>
            <w:r>
              <w:rPr>
                <w:rFonts w:ascii="Arial" w:hAnsi="Arial"/>
                <w:sz w:val="21"/>
              </w:rPr>
              <w:t>Eylül (1-2. hafta)</w:t>
            </w:r>
          </w:p>
        </w:tc>
        <w:tc>
          <w:tcPr>
            <w:tcW w:type="dxa" w:w="2351"/>
          </w:tcPr>
          <w:p>
            <w:r/>
            <w:r>
              <w:rPr>
                <w:rFonts w:ascii="Arial" w:hAnsi="Arial"/>
                <w:sz w:val="21"/>
              </w:rPr>
              <w:t>Planlandı</w:t>
            </w:r>
          </w:p>
        </w:tc>
      </w:tr>
      <w:tr>
        <w:tc>
          <w:tcPr>
            <w:tcW w:type="dxa" w:w="2351"/>
          </w:tcPr>
          <w:p>
            <w:r/>
            <w:r>
              <w:rPr>
                <w:rFonts w:ascii="Arial" w:hAnsi="Arial"/>
                <w:sz w:val="21"/>
              </w:rPr>
              <w:t>İP8 — Final sunum ve canlı demo hazırlığı</w:t>
            </w:r>
          </w:p>
        </w:tc>
        <w:tc>
          <w:tcPr>
            <w:tcW w:type="dxa" w:w="2351"/>
          </w:tcPr>
          <w:p>
            <w:r/>
            <w:r>
              <w:rPr>
                <w:rFonts w:ascii="Arial" w:hAnsi="Arial"/>
                <w:sz w:val="21"/>
              </w:rPr>
              <w:t>Sunum dosyası, kullanıcı senaryoları, canlı demo akışının hazırlanması</w:t>
            </w:r>
          </w:p>
        </w:tc>
        <w:tc>
          <w:tcPr>
            <w:tcW w:type="dxa" w:w="2351"/>
          </w:tcPr>
          <w:p>
            <w:r/>
            <w:r>
              <w:rPr>
                <w:rFonts w:ascii="Arial" w:hAnsi="Arial"/>
                <w:sz w:val="21"/>
              </w:rPr>
              <w:t>14 Eylül 2026'ya kadar</w:t>
            </w:r>
          </w:p>
        </w:tc>
        <w:tc>
          <w:tcPr>
            <w:tcW w:type="dxa" w:w="2351"/>
          </w:tcPr>
          <w:p>
            <w:r/>
            <w:r>
              <w:rPr>
                <w:rFonts w:ascii="Arial" w:hAnsi="Arial"/>
                <w:sz w:val="21"/>
              </w:rPr>
              <w:t>Planlandı</w:t>
            </w:r>
          </w:p>
        </w:tc>
      </w:tr>
    </w:tbl>
    <w:p/>
    <w:p>
      <w:r>
        <w:br w:type="page"/>
      </w:r>
    </w:p>
    <w:p>
      <w:pPr>
        <w:pStyle w:val="Heading1"/>
      </w:pPr>
      <w:r>
        <w:t>TAKIM YAPISI</w:t>
      </w:r>
    </w:p>
    <w:p>
      <w:pPr>
        <w:spacing w:before="240" w:after="80"/>
        <w:jc w:val="left"/>
      </w:pPr>
      <w:r>
        <w:rPr>
          <w:rFonts w:ascii="Arial" w:hAnsi="Arial"/>
          <w:b/>
          <w:sz w:val="25"/>
          <w:rFonts w:ascii="Arial" w:hAnsi="Arial"/>
        </w:rPr>
        <w:t>8.1. Takım Organizasyonu ve Roller</w:t>
      </w:r>
    </w:p>
    <w:p>
      <w:r>
        <w:t>Değerlendirme esasları gereği takım üyelerinin isim ve fotoğraf gibi kişisel bilgilerine bu bölümde yer verilmemiştir. Takım, yarışma kayıt şartına uygun olarak 2-5 kişi ve bir takım kaptanından oluşmaktadır; görev dağılımı aşağıda disiplin/rol bazında özetlenmiştir.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Rol</w:t>
            </w:r>
          </w:p>
        </w:tc>
        <w:tc>
          <w:tcPr>
            <w:tcW w:type="dxa" w:w="4703"/>
          </w:tcPr>
          <w:p>
            <w:r/>
            <w:r>
              <w:rPr>
                <w:rFonts w:ascii="Arial" w:hAnsi="Arial"/>
                <w:b/>
                <w:sz w:val="21"/>
              </w:rPr>
              <w:t>Katkı Alanı</w:t>
            </w:r>
          </w:p>
        </w:tc>
      </w:tr>
      <w:tr>
        <w:tc>
          <w:tcPr>
            <w:tcW w:type="dxa" w:w="4703"/>
          </w:tcPr>
          <w:p>
            <w:r/>
            <w:r>
              <w:rPr>
                <w:rFonts w:ascii="Arial" w:hAnsi="Arial"/>
                <w:sz w:val="21"/>
              </w:rPr>
              <w:t>Takım Kaptanı / Proje Yönetimi</w:t>
            </w:r>
          </w:p>
        </w:tc>
        <w:tc>
          <w:tcPr>
            <w:tcW w:type="dxa" w:w="4703"/>
          </w:tcPr>
          <w:p>
            <w:r/>
            <w:r>
              <w:rPr>
                <w:rFonts w:ascii="Arial" w:hAnsi="Arial"/>
                <w:sz w:val="21"/>
              </w:rPr>
              <w:t>Genel koordinasyon, yarışma süreç takibi, teslim yönetimi</w:t>
            </w:r>
          </w:p>
        </w:tc>
      </w:tr>
      <w:tr>
        <w:tc>
          <w:tcPr>
            <w:tcW w:type="dxa" w:w="4703"/>
          </w:tcPr>
          <w:p>
            <w:r/>
            <w:r>
              <w:rPr>
                <w:rFonts w:ascii="Arial" w:hAnsi="Arial"/>
                <w:sz w:val="21"/>
              </w:rPr>
              <w:t>Yazılım Geliştirme (Backend)</w:t>
            </w:r>
          </w:p>
        </w:tc>
        <w:tc>
          <w:tcPr>
            <w:tcW w:type="dxa" w:w="4703"/>
          </w:tcPr>
          <w:p>
            <w:r/>
            <w:r>
              <w:rPr>
                <w:rFonts w:ascii="Arial" w:hAnsi="Arial"/>
                <w:sz w:val="21"/>
              </w:rPr>
              <w:t>FastAPI backend, API tasarımı, sürüm kontrolü</w:t>
            </w:r>
          </w:p>
        </w:tc>
      </w:tr>
      <w:tr>
        <w:tc>
          <w:tcPr>
            <w:tcW w:type="dxa" w:w="4703"/>
          </w:tcPr>
          <w:p>
            <w:r/>
            <w:r>
              <w:rPr>
                <w:rFonts w:ascii="Arial" w:hAnsi="Arial"/>
                <w:sz w:val="21"/>
              </w:rPr>
              <w:t>Yapay Zekâ / Veri Bilimi</w:t>
            </w:r>
          </w:p>
        </w:tc>
        <w:tc>
          <w:tcPr>
            <w:tcW w:type="dxa" w:w="4703"/>
          </w:tcPr>
          <w:p>
            <w:r/>
            <w:r>
              <w:rPr>
                <w:rFonts w:ascii="Arial" w:hAnsi="Arial"/>
                <w:sz w:val="21"/>
              </w:rPr>
              <w:t>Model eğitimi, bağımsız doğrulama, ince ayar, performans ölçümü</w:t>
            </w:r>
          </w:p>
        </w:tc>
      </w:tr>
      <w:tr>
        <w:tc>
          <w:tcPr>
            <w:tcW w:type="dxa" w:w="4703"/>
          </w:tcPr>
          <w:p>
            <w:r/>
            <w:r>
              <w:rPr>
                <w:rFonts w:ascii="Arial" w:hAnsi="Arial"/>
                <w:sz w:val="21"/>
              </w:rPr>
              <w:t>Ürün / UI-UX Tasarımı</w:t>
            </w:r>
          </w:p>
        </w:tc>
        <w:tc>
          <w:tcPr>
            <w:tcW w:type="dxa" w:w="4703"/>
          </w:tcPr>
          <w:p>
            <w:r/>
            <w:r>
              <w:rPr>
                <w:rFonts w:ascii="Arial" w:hAnsi="Arial"/>
                <w:sz w:val="21"/>
              </w:rPr>
              <w:t>Arayüz tasarımı, kullanıcı akışları, kullanılabilirlik testleri</w:t>
            </w:r>
          </w:p>
        </w:tc>
      </w:tr>
      <w:tr>
        <w:tc>
          <w:tcPr>
            <w:tcW w:type="dxa" w:w="4703"/>
          </w:tcPr>
          <w:p>
            <w:r/>
            <w:r>
              <w:rPr>
                <w:rFonts w:ascii="Arial" w:hAnsi="Arial"/>
                <w:sz w:val="21"/>
              </w:rPr>
              <w:t>Araştırma ve Dokümantasyon</w:t>
            </w:r>
          </w:p>
        </w:tc>
        <w:tc>
          <w:tcPr>
            <w:tcW w:type="dxa" w:w="4703"/>
          </w:tcPr>
          <w:p>
            <w:r/>
            <w:r>
              <w:rPr>
                <w:rFonts w:ascii="Arial" w:hAnsi="Arial"/>
                <w:sz w:val="21"/>
              </w:rPr>
              <w:t>Literatür taraması, teknik rapor, kaynakça</w:t>
            </w:r>
          </w:p>
        </w:tc>
      </w:tr>
    </w:tbl>
    <w:p/>
    <w:p>
      <w:pPr>
        <w:spacing w:after="160"/>
        <w:jc w:val="both"/>
      </w:pPr>
      <w:r>
        <w:rPr>
          <w:rFonts w:ascii="Arial" w:hAnsi="Arial"/>
          <w:i/>
          <w:sz w:val="21"/>
        </w:rPr>
        <w:t>Not: Tablo, projede yürütülen disiplin bazlı katkı alanlarını göstermektedir; ekip büyüklüğü ve isimlendirme yarışma kayıt sistemindeki resmi bilgilerle tutarlıdır.</w:t>
      </w:r>
    </w:p>
    <w:p>
      <w:r>
        <w:br w:type="page"/>
      </w:r>
    </w:p>
    <w:p>
      <w:pPr>
        <w:pStyle w:val="Heading1"/>
      </w:pPr>
      <w:r>
        <w:t>KAYNAKÇA</w:t>
      </w:r>
    </w:p>
    <w:p>
      <w:pPr>
        <w:spacing w:after="120" w:line="276" w:lineRule="auto"/>
      </w:pPr>
      <w:r>
        <w:t>[1] Investigating Best Practices for Ecological Momentary Assessment, JMIR, 26:e50275, 2024. Erişim: https://www.jmir.org/2024/1/e50275</w:t>
      </w:r>
    </w:p>
    <w:p>
      <w:pPr>
        <w:spacing w:after="120" w:line="276" w:lineRule="auto"/>
      </w:pPr>
      <w:r>
        <w:t>[2] Measuring Criterion Validity of Microinteraction Ecological Momentary Assessment (Micro-EMA), PMC7991987. Erişim: https://www.ncbi.nlm.nih.gov/pmc/articles/PMC7991987/</w:t>
      </w:r>
    </w:p>
    <w:p>
      <w:pPr>
        <w:spacing w:after="120" w:line="276" w:lineRule="auto"/>
      </w:pPr>
      <w:r>
        <w:t>[3] Modeling Behaviour to Predict User State: Self-Reports as Ground Truth, arXiv:2007.14461. Erişim: https://arxiv.org/pdf/2007.14461</w:t>
      </w:r>
    </w:p>
    <w:p>
      <w:pPr>
        <w:spacing w:after="120" w:line="276" w:lineRule="auto"/>
      </w:pPr>
      <w:r>
        <w:t>[4] Are active and passive social media use related to mental health, wellbeing, and social support outcomes? A meta-analysis, Journal of Computer-Mediated Communication, 29(1), zmad055, 2024. Erişim: https://academic.oup.com/jcmc/article/29/1/zmad055/7595758</w:t>
      </w:r>
    </w:p>
    <w:p>
      <w:pPr>
        <w:spacing w:after="120" w:line="276" w:lineRule="auto"/>
      </w:pPr>
      <w:r>
        <w:t>[5] Beyond the Scroll: Intolerance of Uncertainty and Doomscrolling, ScienceDirect, 2024. Erişim: https://www.sciencedirect.com/science/article/abs/pii/S0191886924003799</w:t>
      </w:r>
    </w:p>
    <w:p>
      <w:pPr>
        <w:spacing w:after="120" w:line="276" w:lineRule="auto"/>
      </w:pPr>
      <w:r>
        <w:t>[6] Passive Sensing for Mental Health Monitoring Using Machine Learning with Wearables and Smartphones: A Scoping Review, JMIR, 2025. Erişim: https://www.jmir.org/2025/1/e77066</w:t>
      </w:r>
    </w:p>
    <w:p>
      <w:pPr>
        <w:spacing w:after="120" w:line="276" w:lineRule="auto"/>
      </w:pPr>
      <w:r>
        <w:t>[7] Challenging Social Media Threats using Collective Well-being Aware Recommendation Algorithms and Multi-objective Optimization, arXiv:2102.04211. Erişim: https://arxiv.org/pdf/2102.04211</w:t>
      </w:r>
    </w:p>
    <w:p>
      <w:pPr>
        <w:spacing w:after="120" w:line="276" w:lineRule="auto"/>
      </w:pPr>
      <w:r>
        <w:t>[8] Better Feeds: Algorithms That Put People First, Georgetown University Knight-Georgetown Institute, Mart 2025, Erişim Tarihi: 19.08.2026, Erişim: https://kgi.georgetown.edu/wp-content/uploads/2025/02/Better-Feeds_-Algorithms-That-Put-People-First.pdf</w:t>
      </w:r>
    </w:p>
    <w:p>
      <w:pPr>
        <w:spacing w:after="120" w:line="276" w:lineRule="auto"/>
      </w:pPr>
      <w:r>
        <w:t>[9] Explainable recommendation: when design meets trust calibration, World Wide Web (Springer), 2021. Erişim: https://link.springer.com/article/10.1007/s11280-021-00916-0</w:t>
      </w:r>
    </w:p>
    <w:p>
      <w:pPr>
        <w:spacing w:after="120" w:line="276" w:lineRule="auto"/>
      </w:pPr>
      <w:r>
        <w:t>[10] Robertson, C.E., Pröllochs, N., Schwarzenegger, K., Pärnamets, P., Van Bavel, J.J., Feuerriegel, S., (2023) Negativity drives online news consumption, Nature Human Behaviour, 7, 812-822. Erişim: https://www.nature.com/articles/s41562-023-01538-4</w:t>
      </w:r>
    </w:p>
    <w:p>
      <w:pPr>
        <w:spacing w:after="120" w:line="276" w:lineRule="auto"/>
      </w:pPr>
      <w:r>
        <w:t>[11] Negative online news articles are shared more to social media, Scientific Reports (Nature), 2024. Erişim: https://www.nature.com/articles/s41598-024-71263-z</w:t>
      </w:r>
    </w:p>
    <w:p>
      <w:pPr>
        <w:spacing w:after="120" w:line="276" w:lineRule="auto"/>
      </w:pPr>
      <w:r>
        <w:t>[12] Negativity Spreads More than Positivity on Twitter After Both Positive and Negative Political Situations, PMC9383030. Erişim: https://www.ncbi.nlm.nih.gov/pmc/articles/PMC9383030/</w:t>
      </w:r>
    </w:p>
    <w:p>
      <w:pPr>
        <w:spacing w:after="120" w:line="276" w:lineRule="auto"/>
      </w:pPr>
      <w:r>
        <w:t>[13] The Facebook Files, The Wall Street Journal, 2021, Erişim Tarihi: 19.08.2026, Erişim: https://www.wsj.com/articles/the-facebook-files-11631713039</w:t>
      </w:r>
    </w:p>
    <w:p>
      <w:pPr>
        <w:spacing w:after="120" w:line="276" w:lineRule="auto"/>
      </w:pPr>
      <w:r>
        <w:t>[14] Confidential Facebook document reveals leverage over vulnerable teens, The Australian, 2017 (haber kaynağı; ABD Kongresi'ne sunulan iç belgelerle ilişkilendirilmiştir).</w:t>
      </w:r>
    </w:p>
    <w:p>
      <w:pPr>
        <w:spacing w:after="120" w:line="276" w:lineRule="auto"/>
      </w:pPr>
      <w:r>
        <w:t>[15] savasy/bert-base-turkish-sentiment-cased, HuggingFace model kartı, Erişim Tarihi: 19.08.2026, Erişim: https://huggingface.co/savasy/bert-base-turkish-sentiment-cased</w:t>
      </w:r>
    </w:p>
    <w:p>
      <w:pPr>
        <w:spacing w:after="120" w:line="276" w:lineRule="auto"/>
      </w:pPr>
      <w:r>
        <w:t>[16] winvoker/turkish-sentiment-analysis-dataset, HuggingFace veri seti, Erişim Tarihi: 19.08.2026, Erişim: https://huggingface.co/datasets/winvoker/turkish-sentiment-analysis-dataset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line="276" w:lineRule="auto"/>
      <w:jc w:val="left"/>
      <w:outlineLvl w:val="0"/>
    </w:pPr>
    <w:rPr>
      <w:rFonts w:asciiTheme="majorHAnsi" w:eastAsiaTheme="majorEastAsia" w:hAnsiTheme="majorHAnsi" w:cstheme="majorBidi" w:ascii="Arial Black" w:hAnsi="Arial Black" w:cs="Arial Black"/>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