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Birincisi, gönderi metninden gerçek zamanlı duygu skoru çıkaran, bağımsız olarak doğrulanmış ve ince ayarlı bir Türkçe BERT modelidir. İkincisi, kullanıcının davranışsal sinyallerinden (durma süresi, tıklama, roket, yorum) olası bir "spiral" durumu ve olası bir psikolojik izlenim kategorisi tahmin eden, sentetik senaryo verisiyle eğitilmiş açıklanabilir sınıflandırıcılardır. Üçüncüsü, bu sinyalleri ilgi skoruyla birleştirip içeriği yeniden sıralayan iki katmanlı bir motordur.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[15], ince ayarlı), sınıflandırıcılar için scikit-learn (LogisticRegression / SGDClassifier), veri işleme için NumPy/Pandas kullanılmıştır. Fine-tuning ve bağımsız doğrulama için winvoker/turkish-sentiment-analysis-dataset (HuggingFace Hub) [16]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iki katmanlıdır. Sunucu tarafı, gönderi metnini BERT ile bir kez skorlayıp temel ilgi + refah sıralamasını döner (GET /api/gonderiler); davranışsal modellerin (spiral, psikolojik izlenim) katsayıları ise dışa aktarılıp tarayıcıda saf JavaScript ile çalıştırılır (bkz. Bölüm 3.2) -- ham etkileşim verisi hiçbir zaman cihazdan çıkmaz. Bu akışı taşıyan başlıca bileşenler: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Bileşen (sunucu/istemci)</w:t>
            </w:r>
          </w:p>
        </w:tc>
        <w:tc>
          <w:tcPr>
            <w:tcW w:type="dxa" w:w="4703"/>
          </w:tcPr>
          <w:p>
            <w:r/>
            <w:r>
              <w:rPr>
                <w:rFonts w:ascii="Arial" w:hAnsi="Arial"/>
                <w:b/>
                <w:sz w:val="21"/>
              </w:rPr>
              <w:t>İşlev</w:t>
            </w:r>
          </w:p>
        </w:tc>
      </w:tr>
      <w:tr>
        <w:tc>
          <w:tcPr>
            <w:tcW w:type="dxa" w:w="4703"/>
          </w:tcPr>
          <w:p>
            <w:r/>
            <w:r>
              <w:rPr>
                <w:rFonts w:ascii="Arial" w:hAnsi="Arial"/>
                <w:sz w:val="21"/>
              </w:rPr>
              <w:t>GET /api/gonderiler (sunucu)</w:t>
            </w:r>
          </w:p>
        </w:tc>
        <w:tc>
          <w:tcPr>
            <w:tcW w:type="dxa" w:w="4703"/>
          </w:tcPr>
          <w:p>
            <w:r/>
            <w:r>
              <w:rPr>
                <w:rFonts w:ascii="Arial" w:hAnsi="Arial"/>
                <w:sz w:val="21"/>
              </w:rPr>
              <w:t>Gönderi metnini BERT ile skorlar, temel ilgi + refah sıralamasını döner</w:t>
            </w:r>
          </w:p>
        </w:tc>
      </w:tr>
      <w:tr>
        <w:tc>
          <w:tcPr>
            <w:tcW w:type="dxa" w:w="4703"/>
          </w:tcPr>
          <w:p>
            <w:r/>
            <w:r>
              <w:rPr>
                <w:rFonts w:ascii="Arial" w:hAnsi="Arial"/>
                <w:sz w:val="21"/>
              </w:rPr>
              <w:t>recordInteraction() (istemci, IndexedDB)</w:t>
            </w:r>
          </w:p>
        </w:tc>
        <w:tc>
          <w:tcPr>
            <w:tcW w:type="dxa" w:w="4703"/>
          </w:tcPr>
          <w:p>
            <w:r/>
            <w:r>
              <w:rPr>
                <w:rFonts w:ascii="Arial" w:hAnsi="Arial"/>
                <w:sz w:val="21"/>
              </w:rPr>
              <w:t>Etkileşimi cihazda kaydeder; JS'e taşınan eğitilmiş modellerle spiral/psikolojik tahmini hesaplar</w:t>
            </w:r>
          </w:p>
        </w:tc>
      </w:tr>
      <w:tr>
        <w:tc>
          <w:tcPr>
            <w:tcW w:type="dxa" w:w="4703"/>
          </w:tcPr>
          <w:p>
            <w:r/>
            <w:r>
              <w:rPr>
                <w:rFonts w:ascii="Arial" w:hAnsi="Arial"/>
                <w:sz w:val="21"/>
              </w:rPr>
              <w:t>recordCheckin() (istemci)</w:t>
            </w:r>
          </w:p>
        </w:tc>
        <w:tc>
          <w:tcPr>
            <w:tcW w:type="dxa" w:w="4703"/>
          </w:tcPr>
          <w:p>
            <w:r/>
            <w:r>
              <w:rPr>
                <w:rFonts w:ascii="Arial" w:hAnsi="Arial"/>
                <w:sz w:val="21"/>
              </w:rPr>
              <w:t>Onay cevabını modelin o anki tahminiyle karşılaştırır, eşleşme oranını biriktirir</w:t>
            </w:r>
          </w:p>
        </w:tc>
      </w:tr>
      <w:tr>
        <w:tc>
          <w:tcPr>
            <w:tcW w:type="dxa" w:w="4703"/>
          </w:tcPr>
          <w:p>
            <w:r/>
            <w:r>
              <w:rPr>
                <w:rFonts w:ascii="Arial" w:hAnsi="Arial"/>
                <w:sz w:val="21"/>
              </w:rPr>
              <w:t>renderHeatmap() / renderDogrulama() (istemci)</w:t>
            </w:r>
          </w:p>
        </w:tc>
        <w:tc>
          <w:tcPr>
            <w:tcW w:type="dxa" w:w="4703"/>
          </w:tcPr>
          <w:p>
            <w:r/>
            <w:r>
              <w:rPr>
                <w:rFonts w:ascii="Arial" w:hAnsi="Arial"/>
                <w:sz w:val="21"/>
              </w:rPr>
              <w:t>Cihazdaki geçmişten konu x kategori ısı haritasını ve doğrulama istatistiklerini üretir</w:t>
            </w:r>
          </w:p>
        </w:tc>
      </w:tr>
      <w:tr>
        <w:tc>
          <w:tcPr>
            <w:tcW w:type="dxa" w:w="4703"/>
          </w:tcPr>
          <w:p>
            <w:r/>
            <w:r>
              <w:rPr>
                <w:rFonts w:ascii="Arial" w:hAnsi="Arial"/>
                <w:sz w:val="21"/>
              </w:rPr>
              <w:t>terapistOzetiOlustur() (istemci)</w:t>
            </w:r>
          </w:p>
        </w:tc>
        <w:tc>
          <w:tcPr>
            <w:tcW w:type="dxa" w:w="4703"/>
          </w:tcPr>
          <w:p>
            <w:r/>
            <w:r>
              <w:rPr>
                <w:rFonts w:ascii="Arial" w:hAnsi="Arial"/>
                <w:sz w:val="21"/>
              </w:rPr>
              <w:t>Aynı veriden, LLM'siz/yorumsuz bir uzman-veri özeti üretir; kopyalanabilir</w:t>
            </w:r>
          </w:p>
        </w:tc>
      </w:tr>
      <w:tr>
        <w:tc>
          <w:tcPr>
            <w:tcW w:type="dxa" w:w="4703"/>
          </w:tcPr>
          <w:p>
            <w:r/>
            <w:r>
              <w:rPr>
                <w:rFonts w:ascii="Arial" w:hAnsi="Arial"/>
                <w:sz w:val="21"/>
              </w:rPr>
              <w:t>GET /api/haftalik-rapor, /api/terapist-raporu (sunucu, opsiyonel)</w:t>
            </w:r>
          </w:p>
        </w:tc>
        <w:tc>
          <w:tcPr>
            <w:tcW w:type="dxa" w:w="4703"/>
          </w:tcPr>
          <w:p>
            <w:r/>
            <w:r>
              <w:rPr>
                <w:rFonts w:ascii="Arial" w:hAnsi="Arial"/>
                <w:sz w:val="21"/>
              </w:rPr>
              <w:t>LLM tabanlı doğal-dil özet; şu an arayüze bağlı değil, isteğe bağlı bir sonraki adım için hazır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manuel okumayla ~22'si düzelme), ardından bu bulguyu doğrulamak için elle 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tutulmuştur.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p>
      <w:r>
        <w:t>Prototipin ikinci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 Bu, "veri minimizasyonu" ilkesinin somut bir uygulamasıdır ve Bölüm 5.1'deki toplumsal fayda iddiasını doğrudan güçlendirir.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Genel: %93,3 doğruluk. Hedef alt-tür: %77,5'ten %92,5'e</w:t>
            </w:r>
          </w:p>
        </w:tc>
        <w:tc>
          <w:tcPr>
            <w:tcW w:type="dxa" w:w="3135"/>
          </w:tcPr>
          <w:p>
            <w:r/>
            <w:r>
              <w:rPr>
                <w:rFonts w:ascii="Arial" w:hAnsi="Arial"/>
                <w:sz w:val="21"/>
              </w:rPr>
              <w:t>Bağımsız 1000 örnek (genel) + elle etiketlenmiş ayrık 40 örnek (alt-tür)</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Cihaz-içi çalışır durumda; eşleşme oranı canlı hesaplanır</w:t>
            </w:r>
          </w:p>
        </w:tc>
        <w:tc>
          <w:tcPr>
            <w:tcW w:type="dxa" w:w="3135"/>
          </w:tcPr>
          <w:p>
            <w:r/>
            <w:r>
              <w:rPr>
                <w:rFonts w:ascii="Arial" w:hAnsi="Arial"/>
                <w:sz w:val="21"/>
              </w:rPr>
              <w:t>IndexedDB'deki onay geçmişi ile o anki model tahmini karşılaştırılır</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Ara sıra kısa ve geçilebilir bir onay sorusu görünür.</w:t>
      </w:r>
    </w:p>
    <w:p>
      <w:pPr>
        <w:pStyle w:val="ListBullet"/>
        <w:spacing w:line="276" w:lineRule="auto"/>
        <w:jc w:val="both"/>
      </w:pPr>
      <w:r>
        <w:rPr>
          <w:rFonts w:ascii="Arial" w:hAnsi="Arial"/>
          <w:sz w:val="24"/>
        </w:rPr>
        <w:t>İstediği an "İçgörüler" sayfasına geçip o oturumda gerçekten gözlemlenen örüntüleri, konu x psikolojik kategori ısı haritasını ve kendi kendini doğrulama döngüsünün canlı eşleşme oranını görebilir; bu sayfada hiçbir sabit/örnek bölüm yoktur, tamamı cihazdaki oturum verisinden üretilir.</w:t>
      </w:r>
    </w:p>
    <w:p>
      <w:pPr>
        <w:pStyle w:val="ListBullet"/>
        <w:spacing w:line="276" w:lineRule="auto"/>
        <w:jc w:val="both"/>
      </w:pPr>
      <w:r>
        <w:rPr>
          <w:rFonts w:ascii="Arial" w:hAnsi="Arial"/>
          <w:sz w:val="24"/>
        </w:rPr>
        <w:t>İsterse aynı sayfada, bir uzmana götürülebilecek yorumsuz bir veri özetini (kayıt aralığı, konu dağılımı, olası kategori dağılımı, doğrulama eşleşme oranı, sınırlılıklar) tek tıkla oluşturup panoya kopyalayabilir; bu özet de LLM çağrısı içermez, tamamen cihazdaki veriden hesaplanır.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250 örnek gönderiye genişletildi; aşırı hızlı kaydırma sırasında her gönderi 0,3 saniyenin altında göründüğü için istemci tarafındaki bir gürültü filtresi bu etkileşimleri backend'e hiç iletmiyor, dolayısıyla "kaydırma hızı" özelliği (spiral tespitinin altı özelliğinden biri) en hızlı kaydırılan anlarda hiç güncellenemiyordu; filtre kaldırılıp bu sorumluluk zaten var olan ağırlıklandırma mekanizmasına bırakıldı. Ayrı bir testte, içerik havuzu genişledikçe en yüksek ilgi alanına sahip 1-2 konunun (aralarındaki rastgele çeşitlilik gürültüsü onları ayırt edemediği için) sayfanın tamamını tek başına kaplayabildiği görülmüştür; puan farkına güvenmek yerine "aynı konudan sayfa başına en fazla N gönderi" kuralı eklenerek ilgiye göre öne çıkarma korunmuş, tekdüzelik giderilmiştir. Ayrıca arayüz, gerçek NSosyal arayüzünün genel yapısı (sol gezinme menüsü, sağ bilgi paneli, gönderi kartı düzeni) görsel referans alınarak yeniden tasarlandı; NSosyal'in kullanım koşulları otomatik/programatik erişimi yasakladığından bu inceleme tamamen manuel/tek seferlik yapılmış, hiçbir otomatik veri erişimi kurulmamıştır.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Somut bir verimlilik farkı şudur: spiral sınıflandırıcısı yalnızca altı özellik ve bir sabit terimden, toplam yedi öğrenilmiş parametreden oluşur (bkz. Bölüm 3.2); her sıralama kararını bunun yerine bir büyük dil modeliyle almak, milyarlarca parametreli bir modeli her istek için çalıştırmayı gerektirirdi. Bu fark sayesinde sistem milisaniyeler mertebesinde tahmin üretir ve bir GPU'ya ihtiyaç duymadan standart sunucu donanımında çalışabilir. LLM çağrısı yalnızca kullanıcı başına haftada bir üretilen öz-farkındalık raporunda ve isteğe bağlı (talep üzerine, otomatik değil)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w:t>
      </w:r>
    </w:p>
    <w:p>
      <w:r>
        <w:t>Etkinlik, uydurma olmayan somut bir sayıyla ölçülebilir biçimde ifade edilebilir: refah cezası, spiral seviyesi ile içeriğin negatif duygu yoğunluğunun çarpımının 0,8 katsayısıyla ölçeklenmesinden hesaplanır; yani en yüksek spiral seviyesinde (1,0) ve en olumsuz içerikte final skordan 0,8 puana kadar somut bir ceza uygulanır ve içerik sırada geriye düşer. Aynı mekanizmada kullanıcının ilgi alanı hiç terk edilmez; içerik elenmez, yalnızca yumuşatılır.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pPr>
        <w:pStyle w:val="Heading1"/>
      </w:pPr>
      <w:r>
        <w:t>YAYGIN ETKİ</w:t>
      </w:r>
    </w:p>
    <w:p>
      <w:pPr>
        <w:spacing w:before="240" w:after="80"/>
        <w:jc w:val="left"/>
      </w:pPr>
      <w:r>
        <w:rPr>
          <w:rFonts w:ascii="Arial" w:hAnsi="Arial"/>
          <w:b/>
          <w:sz w:val="25"/>
          <w:rFonts w:ascii="Arial" w:hAnsi="Arial"/>
        </w:rPr>
        <w:t>5.1. Toplumsal Fayda ve Erişim Potansiyeli</w:t>
      </w:r>
    </w:p>
    <w:p>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r>
        <w:t>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[24]. Bu ölçek, hem sorunun hem de önerilen çözümün erişim potansiyelinin NSosyal'in mevcut kullanıcı tabanının çok ötesine uzandığını somutlaştırır (bkz. Bölüm 4.2).</w:t>
      </w:r>
    </w:p>
    <w:p>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gerçek bir mekanizmadır. Refah katmanımız da tam olarak bunu yapar; farkı, hedefinin siyasi düşmanlık değil olumsuz ve tetikleyici duygusal yoğunluk olmasıdır.</w:t>
      </w:r>
    </w:p>
    <w:p>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kullanıcının özerkliğini ortadan kaldırmayan, dikkati yeniden yönlendiren hafif müdahaleler ölçülebilir davranışsal etkiler üretebilir.</w:t>
      </w:r>
    </w:p>
    <w:p>
      <w:r>
        <w:t>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panelimiz (bkz. Bölüm 2.2 ve 3.3) bu iki talebi doğrudan karşılar: her karar açıklanabilir sunulur ve kullanıcı doygunluk azaltmayı istediği an kapatabilir.</w:t>
      </w:r>
    </w:p>
    <w:p>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r>
        <w:t>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hafif yönlendirme) başka bağlamlarda ölçülebilir etkiler ürettiğini gösteren nedensel çalışmalar; ve bu iki bulguyu birleştiren, hedefli ve açıklanabilir bir uygulama olarak bizim sistemimiz. Bölüm 3.2'deki kendi kendini doğrulama döngüsü, bu zincirin son halkasını, yani gerçek etkinin zamanla ölçülebilmesini sağlayacak altyapıyı oluşturur.</w:t>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adaylarıdır.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Bölüm 4.1'de gösterildiği gibi bu, milyonlarca etkileşimde dahi düşük maliyetle çalışabilmeyi ve dolayısıyla uzun vadeli işletilebilirliği mümkün kılar.</w:t>
      </w:r>
    </w:p>
    <w:p>
      <w:r>
        <w:t>Teknik sürdürülebilirlik iki ayrı boyutta ele alınmalıdır: bakım ve ölçeklenme. Bakım tarafında, projenin kendi bulgusu somut bir uyarı niteliğindedir: Bölüm 3.2'de bağımsız doğrulamada ortaya çıkan alan kayması, bir modelin bir kez eğitilip sonsuza kadar güvenilir kalamayacağını göstermiştir; platformun içerik dağılımı zamanla değiştikçe modellerin periyodik olarak yeniden doğrulanması ve gerektiğinde yeniden ince ayar yapılması, tek seferlik değil sürekli bir bakım süreci olarak planlanmalıdır. Kendi kendini doğrulama döngüsü (bkz. Bölüm 3.2) bu bakım sürecine gereken erken uyarı sinyalini sağlar: model tahminleri ile kullanıcı onayları arasındaki uyuşma oranı zamanla düşerse, bu durum yeniden eğitim ihtiyacının doğrudan bir göstergesi olur. Ölçeklenme tarafında ise, Bölüm 4.1'de detaylandırılan hafif model mimarisi ve Bölüm 4.3'te belirtilen yeni sinyal/kategori eklemeye açık yapı, teknik sürdürülebilirliğin diğer yarısını oluşturur.</w:t>
      </w:r>
    </w:p>
    <w:p>
      <w:r>
        <w:t>Sosyal sürdürülebilirlik açısından, sistemin kişiselleştirme mekanizması (SGDClassifier'ın partial_fit özelliğiyle çevrimiçi öğrenme) örnek bir prototip olarak uygulanmış ve dürüstçe sınırları belirtilmiştir. Literatür, davranıştan duygu durumu çıkarımının meşru ama kişiye 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Modelin diğer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t>Bu iş paketlerini somut kilometre taşlarına bağlamak 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hazır olacaktır. Bu tarihler yarışmanın resmi takvimiyle (24 Ağustos, 2-7 Eylül, 14 Eylül 2026) doğrudan uyumludur ve yukarıdaki iş paketi tablosundaki dönemlerle birebir örtüşür.</w:t>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p>
      <w:pPr>
        <w:spacing w:after="120" w:line="276" w:lineRule="auto"/>
      </w:pPr>
      <w:r>
        <w:t>[19] Social Media and Youth Mental Health: The U.S. Surgeon General's Advisory, ABD Sağlık Bakanlığı (HHS), 2023, Erişim Tarihi: 20.08.2026, Erişim: https://www.hhs.gov/sites/default/files/sg-youth-mental-health-social-media-advisory.pdf</w:t>
      </w:r>
    </w:p>
    <w:p>
      <w:pPr>
        <w:spacing w:after="120" w:line="276" w:lineRule="auto"/>
      </w:pPr>
      <w:r>
        <w:t>[20] Teens, screens and mental health, WHO Avrupa Bölge Ofisi, 25.09.2024, Erişim Tarihi: 20.08.2026, Erişim: https://www.who.int/europe/news/item/25-09-2024-teens--screens-and-mental-health</w:t>
      </w:r>
    </w:p>
    <w:p>
      <w:pPr>
        <w:spacing w:after="120" w:line="276" w:lineRule="auto"/>
      </w:pPr>
      <w:r>
        <w:t>[21] Piccardi, T., Saveski, M., Jia, C., Hancock, J.T., Tsai, J.L., Bernstein, M.S., Reranking partisan animosity in algorithmic social media feeds alters affective polarization, Science, DOI: 10.1126/science.adu5584. Erişim: https://www.science.org/doi/10.1126/science.adu5584</w:t>
      </w:r>
    </w:p>
    <w:p>
      <w:pPr>
        <w:spacing w:after="120" w:line="276" w:lineRule="auto"/>
      </w:pPr>
      <w:r>
        <w:t>[22] Pennycook, G., Rand, D.G., (2022) Nudging Social Media toward Accuracy, The ANNALS of the American Academy of Political and Social Science. Erişim: https://journals.sagepub.com/doi/10.1177/00027162221092342</w:t>
      </w:r>
    </w:p>
    <w:p>
      <w:pPr>
        <w:spacing w:after="120" w:line="276" w:lineRule="auto"/>
      </w:pPr>
      <w:r>
        <w:t>[23] Milton, A., Runningen, D., Terveen, L., Kaur, H., Chancellor, S., Unraveling Entangled Feeds: Rethinking Social Media Design to Enhance User Well-being, ACM CHI Conference on Human Factors in Computing Systems 2026. Erişim: https://arxiv.org/abs/2602.15745</w:t>
      </w:r>
    </w:p>
    <w:p>
      <w:pPr>
        <w:spacing w:after="120" w:line="276" w:lineRule="auto"/>
      </w:pPr>
      <w:r>
        <w:t>[24] Öztürk, S., Gençlerde Sosyal Medya Kullanımı ve Ruh Sağlığına Etkileri, SD (Sağlık Düşüncesi ve Tıp Kültürü) Dergisi, Sayı 66, 2024, s. 50-53, Erişim Tarihi: 20.08.2026, Erişim: https://sdplatform.com/genclerde-sosyal-medya-kullanimi-ve-ruh-sagligina-etkileri/</w:t>
      </w:r>
    </w:p>
    <w:p>
      <w:pPr>
        <w:spacing w:after="120" w:line="276" w:lineRule="auto"/>
      </w:pPr>
      <w:r>
        <w:t>[25] Hanehalkı Bilişim Teknolojileri (BT) Kullanım Araştırması 2024, Türkiye İstatistik Kurumu (TÜİK), Erişim Tarihi: 20.08.2026, Erişim: https://data.tuik.gov.tr/Bulten/Index?p=Hanehalki-Bilisim-Teknolojileri-(BT)-Kullanim-Arastirmasi-2025-53925</w:t>
      </w:r>
    </w:p>
    <w:p>
      <w:pPr>
        <w:spacing w:after="120" w:line="276" w:lineRule="auto"/>
      </w:pPr>
      <w:r>
        <w:t>[26] The political effects of X's feed algorithm, Nature, 2026, PMC13061628. Erişim: https://pmc.ncbi.nlm.nih.gov/articles/PMC13061628/</w:t>
      </w:r>
    </w:p>
    <w:p>
      <w:pPr>
        <w:spacing w:after="120" w:line="276" w:lineRule="auto"/>
      </w:pPr>
      <w:r>
        <w:t>[27] Predicting Psychological Symptoms When Facebook's Digital Well-being Features Are Used: Cross-sectional Survey Study, PMC9468917. Erişim: https://www.ncbi.nlm.nih.gov/pmc/articles/PMC9468917/</w:t>
      </w:r>
    </w:p>
    <w:p>
      <w:pPr>
        <w:spacing w:after="120" w:line="276" w:lineRule="auto"/>
      </w:pPr>
      <w:r>
        <w:t>[28] Instagram Data Access Pilot for Well-being Research, Meta ve Center for Open Science (COS) ortaklığı, Erişim Tarihi: 20.08.2026, Erişim: https://www.cos.io/meta</w:t>
      </w:r>
    </w:p>
    <w:p>
      <w:pPr>
        <w:spacing w:after="120" w:line="276" w:lineRule="auto"/>
      </w:pPr>
      <w:r>
        <w:t>[29] 2023-2024 Annual Report, Wikimedia Foundation, Erişim Tarihi: 20.08.2026, Erişim: https://wikimediafoundation.org/annualreports/2023-2024-annual-report/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