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(i) gönderi metninden gerçek zamanlı duygu skoru çıkaran, bağımsız olarak doğrulanmış ve ince ayarlı bir Türkçe BERT modeli; (ii) kullanıcının davranışsal sinyallerinden (durma süresi, tıklama, roket, yorum) olası bir "spiral" durumu ve olası bir psikolojik izlenim kategorisi tahmin eden, sentetik senaryo verisiyle eğitilmiş açıklanabilir sınıflandırıcılar; (iii) bu sinyalleri ilgi skoruyla birleştirip içeriği yeniden sıralayan iki katmanlı bir motor.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Fine-tuning ve bağımsız doğrulama için winvoker/turkish-sentiment-analysis-dataset (HuggingFace Hub) kullanılmıştır; spiral ve psikolojik izlenim sınıflandırıcıları için ise senaryo-bazlı sentetik veri üretimi tercih edilmiştir (bkz. Bölüm 3.2).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w:t>
      </w:r>
    </w:p>
    <w:p>
      <w:r>
        <w:t>Sistemin teknik altyapısı, aşağıdaki uçtan uca veri akışıyla çalışır: kullanıcı arayüzdeki bir gönderiyle etkileşime girer; tarayıcı bu sinyali (durma süresi, tıklama, roket, yorum) bir REST API çağrısıyla backend'e iletir; backend gerekli modelleri (duygu, spiral, psikolojik izlenim) çalıştırıp güncellenmiş skorları ve bir doğal-dil açıklaması geri döner; arayüz bu yanıtla "tespit edilen durum" göstergesini, renk doygunluğunu ve şeffaflık panelini anlık olarak günceller. Bu akışı taşıyan başlıca uç noktalar: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Uç nokta</w:t>
            </w:r>
          </w:p>
        </w:tc>
        <w:tc>
          <w:tcPr>
            <w:tcW w:type="dxa" w:w="4703"/>
          </w:tcPr>
          <w:p>
            <w:r/>
            <w:r>
              <w:rPr>
                <w:rFonts w:ascii="Arial" w:hAnsi="Arial"/>
                <w:b/>
                <w:sz w:val="21"/>
              </w:rPr>
              <w:t>İşlev</w:t>
            </w:r>
          </w:p>
        </w:tc>
      </w:tr>
      <w:tr>
        <w:tc>
          <w:tcPr>
            <w:tcW w:type="dxa" w:w="4703"/>
          </w:tcPr>
          <w:p>
            <w:r/>
            <w:r>
              <w:rPr>
                <w:rFonts w:ascii="Arial" w:hAnsi="Arial"/>
                <w:sz w:val="21"/>
              </w:rPr>
              <w:t>GET /api/gonderiler</w:t>
            </w:r>
          </w:p>
        </w:tc>
        <w:tc>
          <w:tcPr>
            <w:tcW w:type="dxa" w:w="4703"/>
          </w:tcPr>
          <w:p>
            <w:r/>
            <w:r>
              <w:rPr>
                <w:rFonts w:ascii="Arial" w:hAnsi="Arial"/>
                <w:sz w:val="21"/>
              </w:rPr>
              <w:t>İlgi + refah skoruna göre sıralanmış, sayfalanmış gönderi akışını döner</w:t>
            </w:r>
          </w:p>
        </w:tc>
      </w:tr>
      <w:tr>
        <w:tc>
          <w:tcPr>
            <w:tcW w:type="dxa" w:w="4703"/>
          </w:tcPr>
          <w:p>
            <w:r/>
            <w:r>
              <w:rPr>
                <w:rFonts w:ascii="Arial" w:hAnsi="Arial"/>
                <w:sz w:val="21"/>
              </w:rPr>
              <w:t>POST /api/etkilesim</w:t>
            </w:r>
          </w:p>
        </w:tc>
        <w:tc>
          <w:tcPr>
            <w:tcW w:type="dxa" w:w="4703"/>
          </w:tcPr>
          <w:p>
            <w:r/>
            <w:r>
              <w:rPr>
                <w:rFonts w:ascii="Arial" w:hAnsi="Arial"/>
                <w:sz w:val="21"/>
              </w:rPr>
              <w:t>Bir etkileşimi işler; spiral seviyesini ve psikolojik izlenimi günceller</w:t>
            </w:r>
          </w:p>
        </w:tc>
      </w:tr>
      <w:tr>
        <w:tc>
          <w:tcPr>
            <w:tcW w:type="dxa" w:w="4703"/>
          </w:tcPr>
          <w:p>
            <w:r/>
            <w:r>
              <w:rPr>
                <w:rFonts w:ascii="Arial" w:hAnsi="Arial"/>
                <w:sz w:val="21"/>
              </w:rPr>
              <w:t>POST /api/dogrulama</w:t>
            </w:r>
          </w:p>
        </w:tc>
        <w:tc>
          <w:tcPr>
            <w:tcW w:type="dxa" w:w="4703"/>
          </w:tcPr>
          <w:p>
            <w:r/>
            <w:r>
              <w:rPr>
                <w:rFonts w:ascii="Arial" w:hAnsi="Arial"/>
                <w:sz w:val="21"/>
              </w:rPr>
              <w:t>Kullanıcının onay cevabını modelin o anki tahminiyle karşılaştırır</w:t>
            </w:r>
          </w:p>
        </w:tc>
      </w:tr>
      <w:tr>
        <w:tc>
          <w:tcPr>
            <w:tcW w:type="dxa" w:w="4703"/>
          </w:tcPr>
          <w:p>
            <w:r/>
            <w:r>
              <w:rPr>
                <w:rFonts w:ascii="Arial" w:hAnsi="Arial"/>
                <w:sz w:val="21"/>
              </w:rPr>
              <w:t>GET /api/psikolojik-ozet</w:t>
            </w:r>
          </w:p>
        </w:tc>
        <w:tc>
          <w:tcPr>
            <w:tcW w:type="dxa" w:w="4703"/>
          </w:tcPr>
          <w:p>
            <w:r/>
            <w:r>
              <w:rPr>
                <w:rFonts w:ascii="Arial" w:hAnsi="Arial"/>
                <w:sz w:val="21"/>
              </w:rPr>
              <w:t>Oturumda gerçekten gözlemlenen kategori dağılımını döner</w:t>
            </w:r>
          </w:p>
        </w:tc>
      </w:tr>
      <w:tr>
        <w:tc>
          <w:tcPr>
            <w:tcW w:type="dxa" w:w="4703"/>
          </w:tcPr>
          <w:p>
            <w:r/>
            <w:r>
              <w:rPr>
                <w:rFonts w:ascii="Arial" w:hAnsi="Arial"/>
                <w:sz w:val="21"/>
              </w:rPr>
              <w:t>GET /api/haftalik-rapor</w:t>
            </w:r>
          </w:p>
        </w:tc>
        <w:tc>
          <w:tcPr>
            <w:tcW w:type="dxa" w:w="4703"/>
          </w:tcPr>
          <w:p>
            <w:r/>
            <w:r>
              <w:rPr>
                <w:rFonts w:ascii="Arial" w:hAnsi="Arial"/>
                <w:sz w:val="21"/>
              </w:rPr>
              <w:t>Oturum verisinden LLM ile gerçek zamanlı öz-farkındalık raporu üretir</w:t>
            </w:r>
          </w:p>
        </w:tc>
      </w:tr>
      <w:tr>
        <w:tc>
          <w:tcPr>
            <w:tcW w:type="dxa" w:w="4703"/>
          </w:tcPr>
          <w:p>
            <w:r/>
            <w:r>
              <w:rPr>
                <w:rFonts w:ascii="Arial" w:hAnsi="Arial"/>
                <w:sz w:val="21"/>
              </w:rPr>
              <w:t>GET /api/terapist-raporu</w:t>
            </w:r>
          </w:p>
        </w:tc>
        <w:tc>
          <w:tcPr>
            <w:tcW w:type="dxa" w:w="4703"/>
          </w:tcPr>
          <w:p>
            <w:r/>
            <w:r>
              <w:rPr>
                <w:rFonts w:ascii="Arial" w:hAnsi="Arial"/>
                <w:sz w:val="21"/>
              </w:rPr>
              <w:t>Aynı veriden, yorumsuz/ham bir uzman-veri özeti üretir</w:t>
            </w:r>
          </w:p>
        </w:tc>
      </w:tr>
      <w:tr>
        <w:tc>
          <w:tcPr>
            <w:tcW w:type="dxa" w:w="4703"/>
          </w:tcPr>
          <w:p>
            <w:r/>
            <w:r>
              <w:rPr>
                <w:rFonts w:ascii="Arial" w:hAnsi="Arial"/>
                <w:sz w:val="21"/>
              </w:rPr>
              <w:t>POST /api/kisisel-mod</w:t>
            </w:r>
          </w:p>
        </w:tc>
        <w:tc>
          <w:tcPr>
            <w:tcW w:type="dxa" w:w="4703"/>
          </w:tcPr>
          <w:p>
            <w:r/>
            <w:r>
              <w:rPr>
                <w:rFonts w:ascii="Arial" w:hAnsi="Arial"/>
                <w:sz w:val="21"/>
              </w:rPr>
              <w:t>Geçmişi Varsayılan/Kişiselleştirilmiş modelle yeniden skorlar</w:t>
            </w:r>
          </w:p>
        </w:tc>
      </w:tr>
    </w:tbl>
    <w:p/>
    <w:p>
      <w:r>
        <w:t>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Kullanıcı akışı şu şekilde işler:</w:t>
      </w:r>
    </w:p>
    <w:p>
      <w:pPr>
        <w:pStyle w:val="ListBullet"/>
        <w:spacing w:line="276" w:lineRule="auto"/>
        <w:jc w:val="both"/>
      </w:pPr>
      <w:r>
        <w:rPr>
          <w:rFonts w:ascii="Arial" w:hAnsi="Arial"/>
          <w:sz w:val="24"/>
        </w:rPr>
        <w:t>Kullanıcı ana akışa girer; gönderiler ilgi ve refah skoruna göre sıralanmış olarak karşısına çıkar.</w:t>
      </w:r>
    </w:p>
    <w:p>
      <w:pPr>
        <w:pStyle w:val="ListBullet"/>
        <w:spacing w:line="276" w:lineRule="auto"/>
        <w:jc w:val="both"/>
      </w:pPr>
      <w:r>
        <w:rPr>
          <w:rFonts w:ascii="Arial" w:hAnsi="Arial"/>
          <w:sz w:val="24"/>
        </w:rPr>
        <w:t>Bir gönderiyle etkileşime girer (durur, tıklar, roket atar veya yorum yazar).</w:t>
      </w:r>
    </w:p>
    <w:p>
      <w:pPr>
        <w:pStyle w:val="ListBullet"/>
        <w:spacing w:line="276" w:lineRule="auto"/>
        <w:jc w:val="both"/>
      </w:pPr>
      <w:r>
        <w:rPr>
          <w:rFonts w:ascii="Arial" w:hAnsi="Arial"/>
          <w:sz w:val="24"/>
        </w:rPr>
        <w:t>Sistem bu etkileşimi anında işler; üstteki "tespit edilen durum" göstergesi ve akışın renk doygunluğu güncellenir.</w:t>
      </w:r>
    </w:p>
    <w:p>
      <w:pPr>
        <w:pStyle w:val="ListBullet"/>
        <w:spacing w:line="276" w:lineRule="auto"/>
        <w:jc w:val="both"/>
      </w:pPr>
      <w:r>
        <w:rPr>
          <w:rFonts w:ascii="Arial" w:hAnsi="Arial"/>
          <w:sz w:val="24"/>
        </w:rPr>
        <w:t>"Neden bunu görüyorsun?" butonuna basarak, o gönderiye özel şeffaflık panelini (ilgi skoru/refah cezası/final skoru) açabilir.</w:t>
      </w:r>
    </w:p>
    <w:p>
      <w:pPr>
        <w:pStyle w:val="ListBullet"/>
        <w:spacing w:line="276" w:lineRule="auto"/>
        <w:jc w:val="both"/>
      </w:pPr>
      <w:r>
        <w:rPr>
          <w:rFonts w:ascii="Arial" w:hAnsi="Arial"/>
          <w:sz w:val="24"/>
        </w:rPr>
        <w:t>Yaklaşık her 8 etkileşimde bir, kısa ve geçilebilir bir onay sorusu görünür.</w:t>
      </w:r>
    </w:p>
    <w:p>
      <w:pPr>
        <w:pStyle w:val="ListBullet"/>
        <w:spacing w:line="276" w:lineRule="auto"/>
        <w:jc w:val="both"/>
      </w:pPr>
      <w:r>
        <w:rPr>
          <w:rFonts w:ascii="Arial" w:hAnsi="Arial"/>
          <w:sz w:val="24"/>
        </w:rPr>
        <w:t>İstediği an "Haftalık Rapor" sayfasına geçip o oturumda gerçekten gözlemlenen örüntüleri, model doğrulama istatistiklerini ve gerçek zamanlı üretilen yapay zekâ yorumunu görebilir.</w:t>
      </w:r>
    </w:p>
    <w:p>
      <w:r>
        <w:t>Tasarım kararlarının gerekçesi şu şekildedir: arayüz, kullanıcıyı yeni bir paradigmayla karşılaştırmamak için NSosyal'in mevcut zaman akışı (timeline) mantığına bilinçli olarak sadık kalır; şeffaflık, akışın dışına taşan ayrı bir sayfa yerine her kartın içinde, isteğe bağlı açılan bir panel olarak sunulur, böylece istemeyen kullanıcı hiç rahatsız edilmez. Renk doygunluğu azaltma da aynı ilkeyle (kullanıcı isteğiyle açılıp kapatılabilir bir anahtarla) engelleyici değil, fark ettirici bir sinyal olacak şekilde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büyük dil modelleri düzeyinde hesaplama maliyeti taşımaz; yalnızca isteğe bağlı haftalık rapor üretiminde bir LLM çağrısı kullanılır. Bu, platforma milyonlarca etkileşimde dahi düşük işletme maliyetiyle ölçeklenebilirlik sağlar. Etkinlik açısından, refah katmanının içeriği elemeden yalnızca yumuşattığı somut olarak gösterilmiştir: kullanıcı testinde spiral seviyesi yükseldiğinde negatif içerik final skorunda ölçülebilir bir ceza alıp sırada geriye düşerken, kullanıcının ilgi alanı hiç terk edilmemiştir.</w:t>
      </w:r>
    </w:p>
    <w:p>
      <w:pPr>
        <w:spacing w:before="240" w:after="80"/>
        <w:jc w:val="left"/>
      </w:pPr>
      <w:r>
        <w:rPr>
          <w:rFonts w:ascii="Arial" w:hAnsi="Arial"/>
          <w:b/>
          <w:sz w:val="25"/>
          <w:rFonts w:ascii="Arial" w:hAnsi="Arial"/>
        </w:rPr>
        <w:t>4.2. Hedef Kitle</w:t>
      </w:r>
    </w:p>
    <w:p>
      <w:r>
        <w:t>Doğrudan hedef kitle, NSosyal'in ~700 bin'i aşkın aktif kullanıcısıdır; özellikle gündem/haber içeriğiyle yoğun etkileşime giren, uzun oturumlar geçiren kullanıcı segmenti. Dolaylı olarak, sistemin ürettiği şeffaflık ve refah verileri içerik üreticileri (üretici paneli önerisi) ve platform yöneticileri için de değer taşır. Genel olarak çözüm, tasarımı gereği herhangi bir sosyal medya platformuna uyarlanabilir bir mimari sunduğundan hedef kitle NSosyal ile sınırlı kalmayan bir büyüme potansiyeline sahiptir.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Proje, sosyal medya kullanımının olası olumsuz duygusal etkilerini azaltmaya yönelik somut, ölçülebilir bir katkı sunar. Toplumsal fayda üç düzeyde değerlendirilebilir: (i) bireysel düzeyde, haftalık öz-farkındalık raporu kullanıcıya kendi dijital alışkanlıkları hakkında olası örüntüleri (teşhis değil) gösterir ve isteğe bağlı olarak bir ruh sağlığı uzmanına götürülebilecek, yorumsuz bir ham veri özeti üretebilir; (ii) platform düzeyinde, refah-farkında sıralama yaklaşımının akademik emsali [7][8] literatürde giderek daha fazla destek bulmaktadır; (iii) toplumsal düzeyde,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(i) düşük işletme maliyeti: hafif/açıklanabilir modeller büyük dil modelleri kadar pahalı değildir, bu doğrudan bir maliyet avantajına dönüşür; (ii) anonim/toplu "dijital refah eğilimleri" verisiyle üniversite, TÜBİTAK veya ruh sağlığı sivil toplum kuruluşlarıyla araştırma ortaklığı (kişisel veri paylaşılmadan, yalnızca toplu istatistik düzeyinde); (iii) "dijital-refah-öncelikli platform" marka değeri üzerinden kurumsal sponsorluk; (iv) mevcut roket sistemine benzer, gönüllülük esaslı opsiyonel destek/bağış mekanizması.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prototip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