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Birincisi, gönderi metninden gerçek zamanlı duygu skoru çıkaran, bağımsız olarak doğrulanmış ve ince ayarlı bir Türkçe BERT modelidir. İkincisi, kullanıcının davranışsal sinyallerinden (durma süresi, tıklama, roket, yorum) olası bir "spiral" durumu ve olası bir psikolojik izlenim kategorisi tahmin eden, sentetik senaryo verisiyle eğitilmiş açıklanabilir sınıflandırıcılardır. Üçüncüsü, bu sinyalleri ilgi skoruyla birleştirip içeriği yeniden sıralayan iki katmanlı bir motordur.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 Kapsam dışında kalan yönler de aynı netlikle çizilmelidir: proje içerik kaldırma/moderasyon kararı almaz, klinik bir teşhis veya tedavi önerisi sunmaz; yalnızca mevcut sıralama ve şeffaflık katmanını hedefler. Akademik yöntem olarak, tasarım kararları ilgili literatürle temellendirilmiş ve vendor/model iddiaları bağımsız veri setleriyle sınanmıştır (bkz. Bölüm 3.2); bu, projeyi yalnızca mühendislik değil, ölçülebilir bir doğrulama disipliniyle de temellendirir. Proje kendi kapsamı içinde tamamlanmış bir son ürün değil, bilinçli bir başlangıç noktasıdır: Bölüm 4.3'te ayrıntılandırılan kişiselleştirme, gizlilik öncelikli mimari ve perspektif genişletici öneriler gibi yönler için somut bir zemin hazırlar.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Fine-tuning ve bağımsız doğrulama için winvoker/turkish-sentiment-analysis-dataset (HuggingFace Hub)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aşağıdaki uçtan uca veri akışıyla çalışır: kullanıcı arayüzdeki bir gönderiyle etkileşime girer; tarayıcı bu sinyali (durma süresi, tıklama, roket, yorum) bir REST API çağrısıyla backend'e iletir; backend gerekli modelleri (duygu, spiral, psikolojik izlenim) çalıştırıp güncellenmiş skorları ve bir doğal-dil açıklaması geri döner; arayüz bu yanıtla "tespit edilen durum" göstergesini, renk doygunluğunu ve şeffaflık panelini anlık olarak günceller. Bu akışı taşıyan başlıca uç noktalar: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Uç nokta</w:t>
            </w:r>
          </w:p>
        </w:tc>
        <w:tc>
          <w:tcPr>
            <w:tcW w:type="dxa" w:w="4703"/>
          </w:tcPr>
          <w:p>
            <w:r/>
            <w:r>
              <w:rPr>
                <w:rFonts w:ascii="Arial" w:hAnsi="Arial"/>
                <w:b/>
                <w:sz w:val="21"/>
              </w:rPr>
              <w:t>İşlev</w:t>
            </w:r>
          </w:p>
        </w:tc>
      </w:tr>
      <w:tr>
        <w:tc>
          <w:tcPr>
            <w:tcW w:type="dxa" w:w="4703"/>
          </w:tcPr>
          <w:p>
            <w:r/>
            <w:r>
              <w:rPr>
                <w:rFonts w:ascii="Arial" w:hAnsi="Arial"/>
                <w:sz w:val="21"/>
              </w:rPr>
              <w:t>GET /api/gonderiler</w:t>
            </w:r>
          </w:p>
        </w:tc>
        <w:tc>
          <w:tcPr>
            <w:tcW w:type="dxa" w:w="4703"/>
          </w:tcPr>
          <w:p>
            <w:r/>
            <w:r>
              <w:rPr>
                <w:rFonts w:ascii="Arial" w:hAnsi="Arial"/>
                <w:sz w:val="21"/>
              </w:rPr>
              <w:t>İlgi + refah skoruna göre sıralanmış, sayfalanmış gönderi akışını döner</w:t>
            </w:r>
          </w:p>
        </w:tc>
      </w:tr>
      <w:tr>
        <w:tc>
          <w:tcPr>
            <w:tcW w:type="dxa" w:w="4703"/>
          </w:tcPr>
          <w:p>
            <w:r/>
            <w:r>
              <w:rPr>
                <w:rFonts w:ascii="Arial" w:hAnsi="Arial"/>
                <w:sz w:val="21"/>
              </w:rPr>
              <w:t>POST /api/etkilesim</w:t>
            </w:r>
          </w:p>
        </w:tc>
        <w:tc>
          <w:tcPr>
            <w:tcW w:type="dxa" w:w="4703"/>
          </w:tcPr>
          <w:p>
            <w:r/>
            <w:r>
              <w:rPr>
                <w:rFonts w:ascii="Arial" w:hAnsi="Arial"/>
                <w:sz w:val="21"/>
              </w:rPr>
              <w:t>Bir etkileşimi işler; spiral seviyesini ve psikolojik izlenimi günceller</w:t>
            </w:r>
          </w:p>
        </w:tc>
      </w:tr>
      <w:tr>
        <w:tc>
          <w:tcPr>
            <w:tcW w:type="dxa" w:w="4703"/>
          </w:tcPr>
          <w:p>
            <w:r/>
            <w:r>
              <w:rPr>
                <w:rFonts w:ascii="Arial" w:hAnsi="Arial"/>
                <w:sz w:val="21"/>
              </w:rPr>
              <w:t>POST /api/dogrulama</w:t>
            </w:r>
          </w:p>
        </w:tc>
        <w:tc>
          <w:tcPr>
            <w:tcW w:type="dxa" w:w="4703"/>
          </w:tcPr>
          <w:p>
            <w:r/>
            <w:r>
              <w:rPr>
                <w:rFonts w:ascii="Arial" w:hAnsi="Arial"/>
                <w:sz w:val="21"/>
              </w:rPr>
              <w:t>Kullanıcının onay cevabını modelin o anki tahminiyle karşılaştırır</w:t>
            </w:r>
          </w:p>
        </w:tc>
      </w:tr>
      <w:tr>
        <w:tc>
          <w:tcPr>
            <w:tcW w:type="dxa" w:w="4703"/>
          </w:tcPr>
          <w:p>
            <w:r/>
            <w:r>
              <w:rPr>
                <w:rFonts w:ascii="Arial" w:hAnsi="Arial"/>
                <w:sz w:val="21"/>
              </w:rPr>
              <w:t>GET /api/psikolojik-ozet</w:t>
            </w:r>
          </w:p>
        </w:tc>
        <w:tc>
          <w:tcPr>
            <w:tcW w:type="dxa" w:w="4703"/>
          </w:tcPr>
          <w:p>
            <w:r/>
            <w:r>
              <w:rPr>
                <w:rFonts w:ascii="Arial" w:hAnsi="Arial"/>
                <w:sz w:val="21"/>
              </w:rPr>
              <w:t>Oturumda gerçekten gözlemlenen kategori dağılımını döner</w:t>
            </w:r>
          </w:p>
        </w:tc>
      </w:tr>
      <w:tr>
        <w:tc>
          <w:tcPr>
            <w:tcW w:type="dxa" w:w="4703"/>
          </w:tcPr>
          <w:p>
            <w:r/>
            <w:r>
              <w:rPr>
                <w:rFonts w:ascii="Arial" w:hAnsi="Arial"/>
                <w:sz w:val="21"/>
              </w:rPr>
              <w:t>GET /api/haftalik-rapor</w:t>
            </w:r>
          </w:p>
        </w:tc>
        <w:tc>
          <w:tcPr>
            <w:tcW w:type="dxa" w:w="4703"/>
          </w:tcPr>
          <w:p>
            <w:r/>
            <w:r>
              <w:rPr>
                <w:rFonts w:ascii="Arial" w:hAnsi="Arial"/>
                <w:sz w:val="21"/>
              </w:rPr>
              <w:t>Oturum verisinden LLM ile gerçek zamanlı öz-farkındalık raporu üretir</w:t>
            </w:r>
          </w:p>
        </w:tc>
      </w:tr>
      <w:tr>
        <w:tc>
          <w:tcPr>
            <w:tcW w:type="dxa" w:w="4703"/>
          </w:tcPr>
          <w:p>
            <w:r/>
            <w:r>
              <w:rPr>
                <w:rFonts w:ascii="Arial" w:hAnsi="Arial"/>
                <w:sz w:val="21"/>
              </w:rPr>
              <w:t>GET /api/terapist-raporu</w:t>
            </w:r>
          </w:p>
        </w:tc>
        <w:tc>
          <w:tcPr>
            <w:tcW w:type="dxa" w:w="4703"/>
          </w:tcPr>
          <w:p>
            <w:r/>
            <w:r>
              <w:rPr>
                <w:rFonts w:ascii="Arial" w:hAnsi="Arial"/>
                <w:sz w:val="21"/>
              </w:rPr>
              <w:t>Aynı veriden, yorumsuz/ham bir uzman-veri özeti üretir</w:t>
            </w:r>
          </w:p>
        </w:tc>
      </w:tr>
      <w:tr>
        <w:tc>
          <w:tcPr>
            <w:tcW w:type="dxa" w:w="4703"/>
          </w:tcPr>
          <w:p>
            <w:r/>
            <w:r>
              <w:rPr>
                <w:rFonts w:ascii="Arial" w:hAnsi="Arial"/>
                <w:sz w:val="21"/>
              </w:rPr>
              <w:t>POST /api/kisisel-mod</w:t>
            </w:r>
          </w:p>
        </w:tc>
        <w:tc>
          <w:tcPr>
            <w:tcW w:type="dxa" w:w="4703"/>
          </w:tcPr>
          <w:p>
            <w:r/>
            <w:r>
              <w:rPr>
                <w:rFonts w:ascii="Arial" w:hAnsi="Arial"/>
                <w:sz w:val="21"/>
              </w:rPr>
              <w:t>Geçmişi Varsayılan/Kişiselleştirilmiş modelle yeniden skorlar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Yaklaşık her 8 etkileşimde bir, kısa ve geçilebilir bir onay sorusu görünür.</w:t>
      </w:r>
    </w:p>
    <w:p>
      <w:pPr>
        <w:pStyle w:val="ListBullet"/>
        <w:spacing w:line="276" w:lineRule="auto"/>
        <w:jc w:val="both"/>
      </w:pPr>
      <w:r>
        <w:rPr>
          <w:rFonts w:ascii="Arial" w:hAnsi="Arial"/>
          <w:sz w:val="24"/>
        </w:rPr>
        <w:t>İstediği an "Haftalık Rapor" sayfasına geçip o oturumda gerçekten gözlemlenen örüntüleri, model doğrulama istatistiklerini ve gerçek zamanlı üretilen yapay zekâ yorumunu görebilir.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Somut bir verimlilik farkı şudur: spiral sınıflandırıcısı yalnızca altı özellik ve bir sabit terimden, toplam yedi öğrenilmiş parametreden oluşur (bkz. Bölüm 3.2); her sıralama kararını bunun yerine bir büyük dil modeliyle almak, milyarlarca parametreli bir modeli her istek için çalıştırmayı gerektirirdi. Bu fark sayesinde sistem milisaniyeler mertebesinde tahmin üretir ve bir GPU'ya ihtiyaç duymadan standart sunucu donanımında çalışabilir. LLM çağrısı yalnızca kullanıcı başına haftada bir üretilen öz-farkındalık raporunda ve isteğe bağlı (talep üzerine, otomatik değil) uzman özetinde kullanılır; bu da toplam çağrı hacmini düşük tutar. Bu mimari tercih, platforma milyonlarca etkileşimde dahi düşük işletme maliyetiyle ölçeklenebilirlik sağlar; NSosyal'in ~700 bin'i aşkın kullanıcısına, mimarinin doğası gereği büyük bir altyapı yatırımı olmadan teorik olarak hizmet verebilecek bir temel sunar; bu iddia şu aşamada gerçek bir yük testiyle değil, mimari tasarımla desteklenmektedir.</w:t>
      </w:r>
    </w:p>
    <w:p>
      <w:r>
        <w:t>Etkinlik, uydurma olmayan somut bir sayıyla ölçülebilir biçimde ifade edilebilir: refah cezası, spiral seviyesi ile içeriğin negatif duygu yoğunluğunun çarpımının 0,8 katsayısıyla ölçeklenmesinden hesaplanır; yani en yüksek spiral seviyesinde (1,0) ve en olumsuz içerikte final skordan 0,8 puana kadar somut bir ceza uygulanır ve içerik sırada geriye düşer. Aynı mekanizmada kullanıcının ilgi alanı hiç terk edilmez; içerik elenmez, yalnızca yumuşatılır. Bu, sistemin "etkileşimi düşürmeden refahı önceleme" hedefinde etkin olduğunun somut bir kanıtıdır: kullanıcı istediği konuyu görmeye devam eder, yalnızca o konunun en tetikleyici örnekleri geri plana çekilir.</w:t>
      </w:r>
    </w:p>
    <w:p>
      <w:pPr>
        <w:spacing w:before="240" w:after="80"/>
        <w:jc w:val="left"/>
      </w:pPr>
      <w:r>
        <w:rPr>
          <w:rFonts w:ascii="Arial" w:hAnsi="Arial"/>
          <w:b/>
          <w:sz w:val="25"/>
          <w:rFonts w:ascii="Arial" w:hAnsi="Arial"/>
        </w:rPr>
        <w:t>4.2. Hedef Kitle</w:t>
      </w:r>
    </w:p>
    <w:p>
      <w:r>
        <w:t>Bu çözümün nihai hedef kitlesi NSosyal kullanıcılarıyla sınırlı değildir: sorunun kökü, yani "en yüksek etkileşim" hedefiyle optimize edilen ve olumsuz/kutuplaştırıcı içeriği 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t>Prototip, bu vizyonun tamamını değil, temel mekanizmasını kanıtlar. Zaman ve kapsam kısıtları nedeniyle şu an eklenmeyen, ama tasarım aşamasında değerlendirilip somut birer gelecek iş maddesi olarak tanımlanan yönler şunlardır:</w:t>
      </w:r>
    </w:p>
    <w:p>
      <w:pPr>
        <w:pStyle w:val="ListBullet"/>
        <w:spacing w:line="276" w:lineRule="auto"/>
        <w:jc w:val="both"/>
      </w:pPr>
      <w:r>
        <w:rPr>
          <w:rFonts w:ascii="Arial" w:hAnsi="Arial"/>
          <w:sz w:val="24"/>
        </w:rPr>
        <w:t>Perspektif Köprüsü: kullanıcı bir konuda olumsuz veya çaresizlik hissi veren içerikte takılı kaldığında, aynı konunun çözüme dönük bir yönünü gösteren bir gönderiyi köprü olarak sunmak. Sistemin konu-nötr ilkesini siyasi taraf değil duygusal ton ekseninde koruyabildiği için mevcut mimariye uygun görünmektedir; ancak hangi sinyalin "çözüme dönük" içeriği belirleyeceği ayrı bir tasarım çalışması gerektirir.</w:t>
      </w:r>
    </w:p>
    <w:p>
      <w:pPr>
        <w:pStyle w:val="ListBullet"/>
        <w:spacing w:line="276" w:lineRule="auto"/>
        <w:jc w:val="both"/>
      </w:pPr>
      <w:r>
        <w:rPr>
          <w:rFonts w:ascii="Arial" w:hAnsi="Arial"/>
          <w:sz w:val="24"/>
        </w:rPr>
        <w:t>Kişiselleştirmenin üretim kalitesine taşınması (bkz. Bölüm 6.2): şu anki online öğrenme prototipi, düzenlileştirme (regularization) ve kullanıcı bazlı kalibrasyon eklenerek gerçek, çok kullanıcılı bir sisteme dönüştürülebilir.</w:t>
      </w:r>
    </w:p>
    <w:p>
      <w:pPr>
        <w:pStyle w:val="ListBullet"/>
        <w:spacing w:line="276" w:lineRule="auto"/>
        <w:jc w:val="both"/>
      </w:pPr>
      <w:r>
        <w:rPr>
          <w:rFonts w:ascii="Arial" w:hAnsi="Arial"/>
          <w:sz w:val="24"/>
        </w:rPr>
        <w:t>Gizlilik önceliğinin artırılması: analiz bileşenlerinin bir kısmının kullanıcı cihazında çalışması ve kişiselleştirmenin federe öğrenmeyle merkezi bir sunucu olmadan paylaşılması. Mevcut prototip şu an tamamen sunucu taraflı çalışmaktadır; bu ayrımın dürüstçe belirtilmesi gerekir.</w:t>
      </w:r>
    </w:p>
    <w:p>
      <w:pPr>
        <w:pStyle w:val="ListBullet"/>
        <w:spacing w:line="276" w:lineRule="auto"/>
        <w:jc w:val="both"/>
      </w:pPr>
      <w:r>
        <w:rPr>
          <w:rFonts w:ascii="Arial" w:hAnsi="Arial"/>
          <w:sz w:val="24"/>
        </w:rPr>
        <w:t>Dijital Refah Ağacı: haftalık/aylık metin raporunun yanına, refah eğiliminin zaman içindeki seyrini temsil eden görsel bir metafor eklemek. Mevcut metin ve çubuk grafik raporu literatürdeki "az ama net" ilkesine zaten uygun olduğundan, bu eklenti karmaşıklaştırma riskine karşı dikkatli tasarlanmalıdır.</w:t>
      </w:r>
    </w:p>
    <w:p>
      <w:pPr>
        <w:pStyle w:val="ListBullet"/>
        <w:spacing w:line="276" w:lineRule="auto"/>
        <w:jc w:val="both"/>
      </w:pPr>
      <w:r>
        <w:rPr>
          <w:rFonts w:ascii="Arial" w:hAnsi="Arial"/>
          <w:sz w:val="24"/>
        </w:rP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r>
        <w:t>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[24]. Bu ölçek, hem sorunun hem de önerilen çözümün erişim potansiyelinin NSosyal'in mevcut kullanıcı tabanının çok ötesine uzandığını somutlaştırır (bkz. Bölüm 4.2).</w:t>
      </w:r>
    </w:p>
    <w:p>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gerçek bir mekanizmadır. Refah katmanımız da tam olarak bunu yapar; farkı, hedefinin siyasi düşmanlık değil olumsuz ve tetikleyici duygusal yoğunluk olmasıdır.</w:t>
      </w:r>
    </w:p>
    <w:p>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kullanıcının özerkliğini ortadan kaldırmayan, dikkati yeniden yönlendiren hafif müdahaleler ölçülebilir davranışsal etkiler üretebilir.</w:t>
      </w:r>
    </w:p>
    <w:p>
      <w:r>
        <w:t>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panelimiz (bkz. Bölüm 2.2 ve 3.3) bu iki talebi doğrudan karşılar: her karar açıklanabilir sunulur ve kullanıcı doygunluk azaltmayı istediği an kapatabilir.</w:t>
      </w:r>
    </w:p>
    <w:p>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r>
        <w:t>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hafif yönlendirme) başka bağlamlarda ölçülebilir etkiler ürettiğini gösteren nedensel çalışmalar; ve bu iki bulguyu birleştiren, hedefli ve açıklanabilir bir uygulama olarak bizim sistemimiz. Bölüm 3.2'deki kendi kendini doğrulama döngüsü, bu zincirin son halkasını, yani gerçek etkinin zamanla ölçülebilmesini sağlayacak altyapıyı oluşturur.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Birincisi, düşük işletme maliyetidir: hafif/açıklanabilir modeller büyük dil modelleri kadar pahalı değildir, bu doğrudan bir maliyet avantajına dönüşür. İkincisi, anonim/toplu "dijital refah eğilimleri" verisiyle üniversite, TÜBİTAK veya ruh sağlığı sivil toplum kuruluşlarıyla araştırma ortaklığıdır (kişisel veri paylaşılmadan, yalnızca toplu istatistik düzeyinde). Üçüncüsü, "dijital-refah-öncelikli platform" marka değeri üzerinden kurumsal sponsorluktur. Dördüncüsü, mevcut roket sistemine benzer, gönüllülük esaslı opsiyonel bir destek/bağış mekanizmasıdır.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prototip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p>
      <w:pPr>
        <w:spacing w:after="120" w:line="276" w:lineRule="auto"/>
      </w:pPr>
      <w:r>
        <w:t>[19] Social Media and Youth Mental Health: The U.S. Surgeon General's Advisory, ABD Sağlık Bakanlığı (HHS), 2023, Erişim Tarihi: 20.08.2026, Erişim: https://www.hhs.gov/sites/default/files/sg-youth-mental-health-social-media-advisory.pdf</w:t>
      </w:r>
    </w:p>
    <w:p>
      <w:pPr>
        <w:spacing w:after="120" w:line="276" w:lineRule="auto"/>
      </w:pPr>
      <w:r>
        <w:t>[20] Teens, screens and mental health, WHO Avrupa Bölge Ofisi, 25.09.2024, Erişim Tarihi: 20.08.2026, Erişim: https://www.who.int/europe/news/item/25-09-2024-teens--screens-and-mental-health</w:t>
      </w:r>
    </w:p>
    <w:p>
      <w:pPr>
        <w:spacing w:after="120" w:line="276" w:lineRule="auto"/>
      </w:pPr>
      <w:r>
        <w:t>[21] Piccardi, T., Saveski, M., Jia, C., Hancock, J.T., Tsai, J.L., Bernstein, M.S., Reranking partisan animosity in algorithmic social media feeds alters affective polarization, Science, DOI: 10.1126/science.adu5584. Erişim: https://www.science.org/doi/10.1126/science.adu5584</w:t>
      </w:r>
    </w:p>
    <w:p>
      <w:pPr>
        <w:spacing w:after="120" w:line="276" w:lineRule="auto"/>
      </w:pPr>
      <w:r>
        <w:t>[22] Pennycook, G., Rand, D.G., (2022) Nudging Social Media toward Accuracy, The ANNALS of the American Academy of Political and Social Science. Erişim: https://journals.sagepub.com/doi/10.1177/00027162221092342</w:t>
      </w:r>
    </w:p>
    <w:p>
      <w:pPr>
        <w:spacing w:after="120" w:line="276" w:lineRule="auto"/>
      </w:pPr>
      <w:r>
        <w:t>[23] Milton, A., Runningen, D., Terveen, L., Kaur, H., Chancellor, S., Unraveling Entangled Feeds: Rethinking Social Media Design to Enhance User Well-being, ACM CHI Conference on Human Factors in Computing Systems 2026. Erişim: https://arxiv.org/abs/2602.15745</w:t>
      </w:r>
    </w:p>
    <w:p>
      <w:pPr>
        <w:spacing w:after="120" w:line="276" w:lineRule="auto"/>
      </w:pPr>
      <w:r>
        <w:t>[24] Öztürk, S., Gençlerde Sosyal Medya Kullanımı ve Ruh Sağlığına Etkileri, SD (Sağlık Düşüncesi ve Tıp Kültürü) Dergisi, Sayı 66, 2024, s. 50-53, Erişim Tarihi: 20.08.2026, Erişim: https://sdplatform.com/genclerde-sosyal-medya-kullanimi-ve-ruh-sagligina-etkileri/</w:t>
      </w:r>
    </w:p>
    <w:p>
      <w:pPr>
        <w:spacing w:after="120" w:line="276" w:lineRule="auto"/>
      </w:pPr>
      <w:r>
        <w:t>[25] Hanehalkı Bilişim Teknolojileri (BT) Kullanım Araştırması 2024, Türkiye İstatistik Kurumu (TÜİK), Erişim Tarihi: 20.08.2026, Erişim: https://data.tuik.gov.tr/Bulten/Index?p=Hanehalki-Bilisim-Teknolojileri-(BT)-Kullanim-Arastirmasi-2025-53925</w:t>
      </w:r>
    </w:p>
    <w:p>
      <w:pPr>
        <w:spacing w:after="120" w:line="276" w:lineRule="auto"/>
      </w:pPr>
      <w:r>
        <w:t>[26] The political effects of X's feed algorithm, Nature, 2026, PMC13061628. Erişim: https://pmc.ncbi.nlm.nih.gov/articles/PMC13061628/</w:t>
      </w:r>
    </w:p>
    <w:p>
      <w:pPr>
        <w:spacing w:after="120" w:line="276" w:lineRule="auto"/>
      </w:pPr>
      <w:r>
        <w:t>[27] Predicting Psychological Symptoms When Facebook's Digital Well-being Features Are Used: Cross-sectional Survey Study, PMC9468917. Erişim: https://www.ncbi.nlm.nih.gov/pmc/articles/PMC9468917/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