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Arial Black" w:hAnsi="Arial Black"/>
          <w:b/>
          <w:sz w:val="52"/>
        </w:rPr>
        <w:t>NSosyal Duygu Katmanı</w:t>
      </w:r>
    </w:p>
    <w:p>
      <w:pPr>
        <w:spacing w:before="200"/>
        <w:jc w:val="center"/>
      </w:pPr>
      <w:r>
        <w:rPr>
          <w:i/>
          <w:sz w:val="30"/>
        </w:rPr>
        <w:t>Duygu-Duyarlı, Açıklanabilir ve Koruyucu Bir Sıralama Katmanı</w:t>
      </w:r>
    </w:p>
    <w:p>
      <w:pPr>
        <w:spacing w:before="1200"/>
        <w:jc w:val="center"/>
      </w:pPr>
      <w:r>
        <w:rPr>
          <w:sz w:val="26"/>
        </w:rPr>
        <w:t>TEKNOFEST NSosyal İnovasyon Yarışması 2026</w:t>
      </w:r>
    </w:p>
    <w:p>
      <w:pPr>
        <w:jc w:val="center"/>
      </w:pPr>
      <w:r>
        <w:rPr>
          <w:sz w:val="26"/>
        </w:rPr>
        <w:t>Tema: Sosyal Yapay Zekâ</w:t>
      </w:r>
    </w:p>
    <w:p>
      <w:pPr>
        <w:spacing w:before="3000"/>
        <w:jc w:val="center"/>
      </w:pPr>
      <w:r>
        <w:rPr>
          <w:b/>
          <w:sz w:val="26"/>
        </w:rPr>
        <w:t>Teknik Rapor</w:t>
      </w:r>
    </w:p>
    <w:p>
      <w:pPr>
        <w:jc w:val="center"/>
      </w:pPr>
      <w:r>
        <w:rPr>
          <w:sz w:val="24"/>
        </w:rPr>
        <w:t>24 Ağustos 2026</w:t>
      </w:r>
    </w:p>
    <w:p>
      <w:r>
        <w:br w:type="page"/>
      </w:r>
    </w:p>
    <w:p>
      <w:pPr>
        <w:pStyle w:val="Heading1"/>
      </w:pPr>
      <w:r>
        <w:t>İÇİNDEKİLER</w:t>
      </w:r>
    </w:p>
    <w:p>
      <w:r>
        <w:fldChar w:fldCharType="begin"/>
        <w:instrText xml:space="preserve">TOC \o "1-1" \h \z \u</w:instrText>
        <w:fldChar w:fldCharType="separate"/>
        <w:t>İçindekiler listesi görünmüyorsa: sağ tık &gt; Alanı Güncelle (veya F9).</w:t>
        <w:fldChar w:fldCharType="end"/>
      </w:r>
    </w:p>
    <w:p>
      <w:r>
        <w:br w:type="page"/>
      </w:r>
    </w:p>
    <w:p>
      <w:pPr>
        <w:pStyle w:val="Heading1"/>
      </w:pPr>
      <w:r>
        <w:t>PROJE ÖZETİ</w:t>
      </w:r>
    </w:p>
    <w:p>
      <w:pPr>
        <w:spacing w:before="240" w:after="80"/>
        <w:jc w:val="left"/>
      </w:pPr>
      <w:r>
        <w:rPr>
          <w:rFonts w:ascii="Arial" w:hAnsi="Arial"/>
          <w:b/>
          <w:sz w:val="25"/>
          <w:rFonts w:ascii="Arial" w:hAnsi="Arial"/>
        </w:rPr>
        <w:t>1.1. Proje Konusu ve Amacı</w:t>
      </w:r>
    </w:p>
    <w:p>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w:t>
      </w:r>
    </w:p>
    <w:p>
      <w:pPr>
        <w:spacing w:before="240" w:after="80"/>
        <w:jc w:val="left"/>
      </w:pPr>
      <w:r>
        <w:rPr>
          <w:rFonts w:ascii="Arial" w:hAnsi="Arial"/>
          <w:b/>
          <w:sz w:val="25"/>
          <w:rFonts w:ascii="Arial" w:hAnsi="Arial"/>
        </w:rPr>
        <w:t>1.2. Proje Kapsamı ve Yöntemi</w:t>
      </w:r>
    </w:p>
    <w:p>
      <w:r>
        <w:t>Projenin kapsamı, NSosyal'in ana akışına eklenen üç bileşenden oluşur: (i) gönderi metninden gerçek zamanlı duygu skoru çıkaran, bağımsız olarak doğrulanmış ve ince ayarlı bir Türkçe BERT modeli; (ii) kullanıcının davranışsal sinyallerinden (durma süresi, tıklama, roket, yorum) olası bir "spiral" durumu ve olası bir psikolojik izlenim kategorisi tahmin eden, sentetik senaryo verisiyle eğitilmiş açıklanabilir sınıflandırıcılar; (iii) bu sinyalleri ilgi skoruyla birleştirip içeriği yeniden sıralayan iki katmanlı bir motor. Yöntem olarak; önce mimari sözlük-tabanlı basit bir ilk prototiple (spike) uçtan uca doğrulanmış, ardından her bileşen gerçek modellerle (BERT, lojistik regresyon/SGD) değiştirilip bağımsız olarak ölçülmüştür. Fikir yalnızca tasarım düzeyinde kalmamış; FastAPI tabanlı bir backend, gerçek zamanlı bir web arayüzü, ve isteğe bağlı bir LLM destekli haftalık öz-farkındalık raporu içeren, uçtan uca çalışan bir prototiple desteklenmiştir (bkz. Bölüm 3-4). NSosyal veya T3 AI'a gerçek bir API erişimi bulunmamaktadır; sistem bağımsız bir prototip olarak çalışır ve "önerilen entegrasyon konsepti" olarak sunulur; bu durum, projenin dürüstlük ilkesi gereği açıkça belirtilir.</w:t>
      </w:r>
    </w:p>
    <w:p>
      <w:r>
        <w:br w:type="page"/>
      </w:r>
    </w:p>
    <w:p>
      <w:pPr>
        <w:pStyle w:val="Heading1"/>
      </w:pPr>
      <w:r>
        <w:t>KATMA DEĞER VE YENİLİKÇİLİK</w:t>
      </w:r>
    </w:p>
    <w:p>
      <w:pPr>
        <w:spacing w:before="240" w:after="80"/>
        <w:jc w:val="left"/>
      </w:pPr>
      <w:r>
        <w:rPr>
          <w:rFonts w:ascii="Arial" w:hAnsi="Arial"/>
          <w:b/>
          <w:sz w:val="25"/>
          <w:rFonts w:ascii="Arial" w:hAnsi="Arial"/>
        </w:rPr>
        <w:t>2.1. Problem Tanımı ve Mevcut Çözümler</w:t>
      </w:r>
    </w:p>
    <w:p>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w:t>
      </w:r>
    </w:p>
    <w:p>
      <w:r>
        <w:t>Piyasadaki mevcut çözümler, bu problemi doğrudan hedef almak yerine dolaylı ve genellikle isteğe bağlı (opt-in) önlemlerle sınırlı kalmaktadır. Instagram'ın 2021'de tanıttığı "Take a Break" hatırlatıcıları, kullanıcıyı 10/20/30 dakikalık aralıklarla uygulamadan uzaklaşmaya davet eder [17]; TikTok da benzer şekilde "Scheduled Breaks" ve bir ekran-süresi paneli sunar [18]. Ancak bu araçlar iki ortak sınırlılık taşır. Birincisi, hangi içeriğin tüketildiğinden veya kullanıcının o an nasıl hissettiğinden tamamen bağımsızdır; yalnızca geçen süreye bakarlar. İkincisi, sıralama algoritmasının kendisine hiç dokunmazlar; yalnızca üzerine isteğe bağlı bir hatırlatma katmanı eklerler, kullanıcı görmezden gelebilir. Daha genel olarak, piyasadaki çözümler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hesaba katmaz. Sonuç olarak, kullanıcı refahını sıralama kararının kendisine entegre eden, açıklanabilir ve içerik-duyarlı bir çözüm, piyasada hâlâ ele alınmamış gerçek bir problem olarak durmaktadır; bu proje tam olarak bu boşluğu hedef almaktadır.</w:t>
      </w:r>
    </w:p>
    <w:p>
      <w:pPr>
        <w:spacing w:before="240" w:after="80"/>
        <w:jc w:val="left"/>
      </w:pPr>
      <w:r>
        <w:rPr>
          <w:rFonts w:ascii="Arial" w:hAnsi="Arial"/>
          <w:b/>
          <w:sz w:val="25"/>
          <w:rFonts w:ascii="Arial" w:hAnsi="Arial"/>
        </w:rPr>
        <w:t>2.2. Çözüm Fikri, Özgünlük ve Yerlilik</w:t>
      </w:r>
    </w:p>
    <w:p>
      <w:r>
        <w:t>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alanının içinde kalınarak yalnızca daha az tetikleyici içeriğe doğru bir kayma sağlanır, ilgi alanı hiç terk edilmez. İlgi skoru ile refah skoru birlikte gönderinin final skorunu oluşturur ve akış bu skora göre sıralanır.</w:t>
      </w:r>
    </w:p>
    <w:p>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nasıl üretildiğidir. Birçok tavsiye/sıralama sistemi, kendi kararını kendisi de tam olarak açıklayamayan büyük ve karmaşık modellere (örneğin derin sinir ağlarına) dayanır; bu modeller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r>
        <w:t>Yerlilik bileşenleri somuttur:</w:t>
      </w:r>
    </w:p>
    <w:p>
      <w:pPr>
        <w:pStyle w:val="ListBullet"/>
        <w:spacing w:line="276" w:lineRule="auto"/>
        <w:jc w:val="both"/>
      </w:pPr>
      <w:r>
        <w:rPr>
          <w:rFonts w:ascii="Arial" w:hAnsi="Arial"/>
          <w:sz w:val="24"/>
        </w:rPr>
        <w:t>NSosyal'in kendisi T3 Vakfı ve Baykar Teknoloji tarafından geliştirilen yerli bir platformdur.</w:t>
      </w:r>
    </w:p>
    <w:p>
      <w:pPr>
        <w:pStyle w:val="ListBullet"/>
        <w:spacing w:line="276" w:lineRule="auto"/>
        <w:jc w:val="both"/>
      </w:pPr>
      <w:r>
        <w:rPr>
          <w:rFonts w:ascii="Arial" w:hAnsi="Arial"/>
          <w:sz w:val="24"/>
        </w:rPr>
        <w:t>Duygu analizi için 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pPr>
        <w:pStyle w:val="ListBullet"/>
        <w:spacing w:line="276" w:lineRule="auto"/>
        <w:jc w:val="both"/>
      </w:pPr>
      <w:r>
        <w:rPr>
          <w:rFonts w:ascii="Arial" w:hAnsi="Arial"/>
          <w:sz w:val="24"/>
        </w:rPr>
        <w:t>NSosyal'in mevcut T3 AI bileşeni (otomatik yanıt, çok dilli yorumlama, filtreleme/moderasyon), duygu-analizi katmanımızın önerilen bir uzantısı olarak konumlandırılmıştır.</w:t>
      </w:r>
    </w:p>
    <w:p>
      <w:r>
        <w:br w:type="page"/>
      </w:r>
    </w:p>
    <w:p>
      <w:pPr>
        <w:pStyle w:val="Heading1"/>
      </w:pPr>
      <w:r>
        <w:t>TEKNOLOJİ KULLANIMI</w:t>
      </w:r>
    </w:p>
    <w:p>
      <w:pPr>
        <w:spacing w:before="240" w:after="80"/>
        <w:jc w:val="left"/>
      </w:pPr>
      <w:r>
        <w:rPr>
          <w:rFonts w:ascii="Arial" w:hAnsi="Arial"/>
          <w:b/>
          <w:sz w:val="25"/>
          <w:rFonts w:ascii="Arial" w:hAnsi="Arial"/>
        </w:rPr>
        <w:t>3.1. İzlenecek Yöntem, Altyapı ve Sürüm Kontrolü</w:t>
      </w:r>
    </w:p>
    <w:p>
      <w:r>
        <w:t>Backend Python/FastAPI ile geliştirilmiştir; duygu analizi için HuggingFace Transformers (savasy/bert-base-turkish-sentiment-cased tabanlı, ince ayarlı), sınıflandırıcılar için scikit-learn (LogisticRegression / SGDClassifier), veri işleme için NumPy/Pandas kullanılmıştır. Fine-tuning ve bağımsız doğrulama için winvoker/turkish-sentiment-analysis-dataset (HuggingFace Hub) kullanılmıştır; spiral ve psikolojik izlenim sınıflandırıcıları için ise senaryo-bazlı sentetik veri üretimi tercih edilmiştir (bkz. Bölüm 3.2). Frontend, dwell-time takibi için tarayıcının yerel Intersection Observer API'sini kullanan sade bir JavaScript/HTML/CSS arayüzüdür. Haftalık öz-farkındalık raporu, oturum verisini okunabilir bir metne çeviren Google Gemini API'si (gemini-3.6-flash) ile üretilir; sağlayıcı seçimi bilinçlidir: Gemini'nin kart istemeyen gerçek bir ücretsiz katmanı, açıklanabilirlik ilkesiyle çelişmeyen, sağlayıcıdan bağımsız tasarlanmış bir prompt mimarisiyle kullanılmaktadır.</w:t>
      </w:r>
    </w:p>
    <w:p>
      <w:r>
        <w:t>Sistemin teknik altyapısı, aşağıdaki uçtan uca veri akışıyla çalışır: kullanıcı arayüzdeki bir gönderiyle etkileşime girer; tarayıcı bu sinyali (durma süresi, tıklama, roket, yorum) bir REST API çağrısıyla backend'e iletir; backend gerekli modelleri (duygu, spiral, psikolojik izlenim) çalıştırıp güncellenmiş skorları ve bir doğal-dil açıklaması geri döner; arayüz bu yanıtla "tespit edilen durum" göstergesini, renk doygunluğunu ve şeffaflık panelini anlık olarak günceller. Bu akışı taşıyan başlıca uç noktalar: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Uç nokta</w:t>
            </w:r>
          </w:p>
        </w:tc>
        <w:tc>
          <w:tcPr>
            <w:tcW w:type="dxa" w:w="4703"/>
          </w:tcPr>
          <w:p>
            <w:r/>
            <w:r>
              <w:rPr>
                <w:rFonts w:ascii="Arial" w:hAnsi="Arial"/>
                <w:b/>
                <w:sz w:val="21"/>
              </w:rPr>
              <w:t>İşlev</w:t>
            </w:r>
          </w:p>
        </w:tc>
      </w:tr>
      <w:tr>
        <w:tc>
          <w:tcPr>
            <w:tcW w:type="dxa" w:w="4703"/>
          </w:tcPr>
          <w:p>
            <w:r/>
            <w:r>
              <w:rPr>
                <w:rFonts w:ascii="Arial" w:hAnsi="Arial"/>
                <w:sz w:val="21"/>
              </w:rPr>
              <w:t>GET /api/gonderiler</w:t>
            </w:r>
          </w:p>
        </w:tc>
        <w:tc>
          <w:tcPr>
            <w:tcW w:type="dxa" w:w="4703"/>
          </w:tcPr>
          <w:p>
            <w:r/>
            <w:r>
              <w:rPr>
                <w:rFonts w:ascii="Arial" w:hAnsi="Arial"/>
                <w:sz w:val="21"/>
              </w:rPr>
              <w:t>İlgi + refah skoruna göre sıralanmış, sayfalanmış gönderi akışını döner</w:t>
            </w:r>
          </w:p>
        </w:tc>
      </w:tr>
      <w:tr>
        <w:tc>
          <w:tcPr>
            <w:tcW w:type="dxa" w:w="4703"/>
          </w:tcPr>
          <w:p>
            <w:r/>
            <w:r>
              <w:rPr>
                <w:rFonts w:ascii="Arial" w:hAnsi="Arial"/>
                <w:sz w:val="21"/>
              </w:rPr>
              <w:t>POST /api/etkilesim</w:t>
            </w:r>
          </w:p>
        </w:tc>
        <w:tc>
          <w:tcPr>
            <w:tcW w:type="dxa" w:w="4703"/>
          </w:tcPr>
          <w:p>
            <w:r/>
            <w:r>
              <w:rPr>
                <w:rFonts w:ascii="Arial" w:hAnsi="Arial"/>
                <w:sz w:val="21"/>
              </w:rPr>
              <w:t>Bir etkileşimi işler; spiral seviyesini ve psikolojik izlenimi günceller</w:t>
            </w:r>
          </w:p>
        </w:tc>
      </w:tr>
      <w:tr>
        <w:tc>
          <w:tcPr>
            <w:tcW w:type="dxa" w:w="4703"/>
          </w:tcPr>
          <w:p>
            <w:r/>
            <w:r>
              <w:rPr>
                <w:rFonts w:ascii="Arial" w:hAnsi="Arial"/>
                <w:sz w:val="21"/>
              </w:rPr>
              <w:t>POST /api/dogrulama</w:t>
            </w:r>
          </w:p>
        </w:tc>
        <w:tc>
          <w:tcPr>
            <w:tcW w:type="dxa" w:w="4703"/>
          </w:tcPr>
          <w:p>
            <w:r/>
            <w:r>
              <w:rPr>
                <w:rFonts w:ascii="Arial" w:hAnsi="Arial"/>
                <w:sz w:val="21"/>
              </w:rPr>
              <w:t>Kullanıcının onay cevabını modelin o anki tahminiyle karşılaştırır</w:t>
            </w:r>
          </w:p>
        </w:tc>
      </w:tr>
      <w:tr>
        <w:tc>
          <w:tcPr>
            <w:tcW w:type="dxa" w:w="4703"/>
          </w:tcPr>
          <w:p>
            <w:r/>
            <w:r>
              <w:rPr>
                <w:rFonts w:ascii="Arial" w:hAnsi="Arial"/>
                <w:sz w:val="21"/>
              </w:rPr>
              <w:t>GET /api/psikolojik-ozet</w:t>
            </w:r>
          </w:p>
        </w:tc>
        <w:tc>
          <w:tcPr>
            <w:tcW w:type="dxa" w:w="4703"/>
          </w:tcPr>
          <w:p>
            <w:r/>
            <w:r>
              <w:rPr>
                <w:rFonts w:ascii="Arial" w:hAnsi="Arial"/>
                <w:sz w:val="21"/>
              </w:rPr>
              <w:t>Oturumda gerçekten gözlemlenen kategori dağılımını döner</w:t>
            </w:r>
          </w:p>
        </w:tc>
      </w:tr>
      <w:tr>
        <w:tc>
          <w:tcPr>
            <w:tcW w:type="dxa" w:w="4703"/>
          </w:tcPr>
          <w:p>
            <w:r/>
            <w:r>
              <w:rPr>
                <w:rFonts w:ascii="Arial" w:hAnsi="Arial"/>
                <w:sz w:val="21"/>
              </w:rPr>
              <w:t>GET /api/haftalik-rapor</w:t>
            </w:r>
          </w:p>
        </w:tc>
        <w:tc>
          <w:tcPr>
            <w:tcW w:type="dxa" w:w="4703"/>
          </w:tcPr>
          <w:p>
            <w:r/>
            <w:r>
              <w:rPr>
                <w:rFonts w:ascii="Arial" w:hAnsi="Arial"/>
                <w:sz w:val="21"/>
              </w:rPr>
              <w:t>Oturum verisinden LLM ile gerçek zamanlı öz-farkındalık raporu üretir</w:t>
            </w:r>
          </w:p>
        </w:tc>
      </w:tr>
      <w:tr>
        <w:tc>
          <w:tcPr>
            <w:tcW w:type="dxa" w:w="4703"/>
          </w:tcPr>
          <w:p>
            <w:r/>
            <w:r>
              <w:rPr>
                <w:rFonts w:ascii="Arial" w:hAnsi="Arial"/>
                <w:sz w:val="21"/>
              </w:rPr>
              <w:t>GET /api/terapist-raporu</w:t>
            </w:r>
          </w:p>
        </w:tc>
        <w:tc>
          <w:tcPr>
            <w:tcW w:type="dxa" w:w="4703"/>
          </w:tcPr>
          <w:p>
            <w:r/>
            <w:r>
              <w:rPr>
                <w:rFonts w:ascii="Arial" w:hAnsi="Arial"/>
                <w:sz w:val="21"/>
              </w:rPr>
              <w:t>Aynı veriden, yorumsuz/ham bir uzman-veri özeti üretir</w:t>
            </w:r>
          </w:p>
        </w:tc>
      </w:tr>
      <w:tr>
        <w:tc>
          <w:tcPr>
            <w:tcW w:type="dxa" w:w="4703"/>
          </w:tcPr>
          <w:p>
            <w:r/>
            <w:r>
              <w:rPr>
                <w:rFonts w:ascii="Arial" w:hAnsi="Arial"/>
                <w:sz w:val="21"/>
              </w:rPr>
              <w:t>POST /api/kisisel-mod</w:t>
            </w:r>
          </w:p>
        </w:tc>
        <w:tc>
          <w:tcPr>
            <w:tcW w:type="dxa" w:w="4703"/>
          </w:tcPr>
          <w:p>
            <w:r/>
            <w:r>
              <w:rPr>
                <w:rFonts w:ascii="Arial" w:hAnsi="Arial"/>
                <w:sz w:val="21"/>
              </w:rPr>
              <w:t>Geçmişi Varsayılan/Kişiselleştirilmiş modelle yeniden skorlar</w:t>
            </w:r>
          </w:p>
        </w:tc>
      </w:tr>
    </w:tbl>
    <w:p/>
    <w:p>
      <w:r>
        <w:t>Proje sürüm kontrolü altında geliştirilmiş, düzenli ve anlamlı commit'lerle ilerletilmiştir; kaynak kod GitHub üzerinde açık bir depoda saklanmaktadır: https://github.com/samibahar/nsosyal. Depo, commit geçmişiyle geliştirme sürecinin tamamını (ilk prototip aşamasından güncel sürüme kadar) takip edilebilir kılar.</w:t>
      </w:r>
    </w:p>
    <w:p>
      <w:pPr>
        <w:spacing w:before="240" w:after="80"/>
        <w:jc w:val="left"/>
      </w:pPr>
      <w:r>
        <w:rPr>
          <w:rFonts w:ascii="Arial" w:hAnsi="Arial"/>
          <w:b/>
          <w:sz w:val="25"/>
          <w:rFonts w:ascii="Arial" w:hAnsi="Arial"/>
        </w:rPr>
        <w:t>3.2. Model ve Veri Doğrulama</w:t>
      </w:r>
    </w:p>
    <w:p>
      <w:r>
        <w:t>Veri ön işleme iki farklı boru hattı izler. Duygu modeli tarafında, BERT'in kendi alt-sözcük (WordPiece) tokenizer'ı metni sayısal girdilere çevirir; fine-tuning için winvoker veri setinden dengeli (7.500 pozitif + 7.500 negatif) bir örneklem alınır ve dinamik dolgulama (dynamic padding) ile eğitim hızlandırılır. Davranışsal sınıflandırıcılar tarafında ise eğitim verisi, her kategori için gerçekçi davranışsal imzalar tanımlayan (örneğin "sinirli": negatif duygu + sık roket/yorum + kısa-orta dwell) senaryo üreteçleriyle sentetik olarak oluşturulur, ardından %10 kasıtlı etiket gürültüsü eklenir. Ham özellikler (dwell_saniye 0-15+ saniye ile duygu -1..1 ve ikili sinyaller 0/1) çok farklı ölçeklerde olduğundan, eğitim öncesi StandardScaler ile ölçeklenir; bu adım atlandığında psikolojik izlenim modelinin F1 makro değeri 0,686'da kalırken, uygulandığında 0,704'e çıktığı bağımsız olarak ölçülmüştür.</w:t>
      </w:r>
    </w:p>
    <w:p>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ayrık bir bölümüyle (veri sızıntısı önlenerek) ~15.000 örnekle yapılan hedefli bir ince ayarla düzeltilmiştir (%94,3 doğruluk, F1 0,964; bağımsız olarak yeniden ölçülmüştür).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katsayılar denetlenebilir durumdadır. Beş kategorili psikolojik izlenim sınıflandırıcısı (sakin/mutluluk/umut/sinirli/anksiyete), yukarıda anlatılan ölçekleme ile eğitilmiş bir SGDClassifier'dır (F1 makro 0,704). Aşırı öğrenmeyi (overfitting) önlemek için: tüm modellerde stratified train/test ayrımı ile fine-tuning ve bağımsız doğrulama için birbirinden tamamen ayrık veri bölümleri kullanılmıştır (yukarıdaki %10 etiket gürültüsü de aynı amaca, sınırların asla net olmadığını modellemeye, hizmet eder). Modelin gerçek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rFonts w:ascii="Arial" w:hAnsi="Arial"/>
                <w:b/>
                <w:sz w:val="21"/>
              </w:rPr>
              <w:t>Bileşen</w:t>
            </w:r>
          </w:p>
        </w:tc>
        <w:tc>
          <w:tcPr>
            <w:tcW w:type="dxa" w:w="3135"/>
          </w:tcPr>
          <w:p>
            <w:r/>
            <w:r>
              <w:rPr>
                <w:rFonts w:ascii="Arial" w:hAnsi="Arial"/>
                <w:b/>
                <w:sz w:val="21"/>
              </w:rPr>
              <w:t>Ölçülen sonuç</w:t>
            </w:r>
          </w:p>
        </w:tc>
        <w:tc>
          <w:tcPr>
            <w:tcW w:type="dxa" w:w="3135"/>
          </w:tcPr>
          <w:p>
            <w:r/>
            <w:r>
              <w:rPr>
                <w:rFonts w:ascii="Arial" w:hAnsi="Arial"/>
                <w:b/>
                <w:sz w:val="21"/>
              </w:rPr>
              <w:t>Doğrulama yöntemi</w:t>
            </w:r>
          </w:p>
        </w:tc>
      </w:tr>
      <w:tr>
        <w:tc>
          <w:tcPr>
            <w:tcW w:type="dxa" w:w="3135"/>
          </w:tcPr>
          <w:p>
            <w:r/>
            <w:r>
              <w:rPr>
                <w:rFonts w:ascii="Arial" w:hAnsi="Arial"/>
                <w:sz w:val="21"/>
              </w:rPr>
              <w:t>Duygu modeli (BERT)</w:t>
            </w:r>
          </w:p>
        </w:tc>
        <w:tc>
          <w:tcPr>
            <w:tcW w:type="dxa" w:w="3135"/>
          </w:tcPr>
          <w:p>
            <w:r/>
            <w:r>
              <w:rPr>
                <w:rFonts w:ascii="Arial" w:hAnsi="Arial"/>
                <w:sz w:val="21"/>
              </w:rPr>
              <w:t>%94,3 doğruluk (ince ayar sonrası, %69,8'den)</w:t>
            </w:r>
          </w:p>
        </w:tc>
        <w:tc>
          <w:tcPr>
            <w:tcW w:type="dxa" w:w="3135"/>
          </w:tcPr>
          <w:p>
            <w:r/>
            <w:r>
              <w:rPr>
                <w:rFonts w:ascii="Arial" w:hAnsi="Arial"/>
                <w:sz w:val="21"/>
              </w:rPr>
              <w:t>Bağımsız 1000 örnek, vendor iddiasından ayrı ölçüldü</w:t>
            </w:r>
          </w:p>
        </w:tc>
      </w:tr>
      <w:tr>
        <w:tc>
          <w:tcPr>
            <w:tcW w:type="dxa" w:w="3135"/>
          </w:tcPr>
          <w:p>
            <w:r/>
            <w:r>
              <w:rPr>
                <w:rFonts w:ascii="Arial" w:hAnsi="Arial"/>
                <w:sz w:val="21"/>
              </w:rPr>
              <w:t>Spiral tespiti</w:t>
            </w:r>
          </w:p>
        </w:tc>
        <w:tc>
          <w:tcPr>
            <w:tcW w:type="dxa" w:w="3135"/>
          </w:tcPr>
          <w:p>
            <w:r/>
            <w:r>
              <w:rPr>
                <w:rFonts w:ascii="Arial" w:hAnsi="Arial"/>
                <w:sz w:val="21"/>
              </w:rPr>
              <w:t>Doğruluk 0,714 / F1 0,748</w:t>
            </w:r>
          </w:p>
        </w:tc>
        <w:tc>
          <w:tcPr>
            <w:tcW w:type="dxa" w:w="3135"/>
          </w:tcPr>
          <w:p>
            <w:r/>
            <w:r>
              <w:rPr>
                <w:rFonts w:ascii="Arial" w:hAnsi="Arial"/>
                <w:sz w:val="21"/>
              </w:rPr>
              <w:t>Stratified train/test, senaryo verisi</w:t>
            </w:r>
          </w:p>
        </w:tc>
      </w:tr>
      <w:tr>
        <w:tc>
          <w:tcPr>
            <w:tcW w:type="dxa" w:w="3135"/>
          </w:tcPr>
          <w:p>
            <w:r/>
            <w:r>
              <w:rPr>
                <w:rFonts w:ascii="Arial" w:hAnsi="Arial"/>
                <w:sz w:val="21"/>
              </w:rPr>
              <w:t>Psikolojik izlenim (5 kategori)</w:t>
            </w:r>
          </w:p>
        </w:tc>
        <w:tc>
          <w:tcPr>
            <w:tcW w:type="dxa" w:w="3135"/>
          </w:tcPr>
          <w:p>
            <w:r/>
            <w:r>
              <w:rPr>
                <w:rFonts w:ascii="Arial" w:hAnsi="Arial"/>
                <w:sz w:val="21"/>
              </w:rPr>
              <w:t>F1 makro 0,704</w:t>
            </w:r>
          </w:p>
        </w:tc>
        <w:tc>
          <w:tcPr>
            <w:tcW w:type="dxa" w:w="3135"/>
          </w:tcPr>
          <w:p>
            <w:r/>
            <w:r>
              <w:rPr>
                <w:rFonts w:ascii="Arial" w:hAnsi="Arial"/>
                <w:sz w:val="21"/>
              </w:rPr>
              <w:t>Ölçek düzeltmesi (StandardScaler) ile 0,686'dan iyileştirildi</w:t>
            </w:r>
          </w:p>
        </w:tc>
      </w:tr>
      <w:tr>
        <w:tc>
          <w:tcPr>
            <w:tcW w:type="dxa" w:w="3135"/>
          </w:tcPr>
          <w:p>
            <w:r/>
            <w:r>
              <w:rPr>
                <w:rFonts w:ascii="Arial" w:hAnsi="Arial"/>
                <w:sz w:val="21"/>
              </w:rPr>
              <w:t>Kendi kendini doğrulama döngüsü</w:t>
            </w:r>
          </w:p>
        </w:tc>
        <w:tc>
          <w:tcPr>
            <w:tcW w:type="dxa" w:w="3135"/>
          </w:tcPr>
          <w:p>
            <w:r/>
            <w:r>
              <w:rPr>
                <w:rFonts w:ascii="Arial" w:hAnsi="Arial"/>
                <w:sz w:val="21"/>
              </w:rPr>
              <w:t>Canlı test edildi, çalışır durumda</w:t>
            </w:r>
          </w:p>
        </w:tc>
        <w:tc>
          <w:tcPr>
            <w:tcW w:type="dxa" w:w="3135"/>
          </w:tcPr>
          <w:p>
            <w:r/>
            <w:r>
              <w:rPr>
                <w:rFonts w:ascii="Arial" w:hAnsi="Arial"/>
                <w:sz w:val="21"/>
              </w:rPr>
              <w:t>Gerçek etkileşimde model tahmini ile kullanıcı onayı eşleşti</w:t>
            </w:r>
          </w:p>
        </w:tc>
      </w:tr>
    </w:tbl>
    <w:p/>
    <w:p>
      <w:pPr>
        <w:spacing w:before="240" w:after="80"/>
        <w:jc w:val="left"/>
      </w:pPr>
      <w:r>
        <w:rPr>
          <w:rFonts w:ascii="Arial" w:hAnsi="Arial"/>
          <w:b/>
          <w:sz w:val="25"/>
          <w:rFonts w:ascii="Arial" w:hAnsi="Arial"/>
        </w:rPr>
        <w:t>3.3. Kullanıcı Deneyimi (UI/UX) Tasarımı</w:t>
      </w:r>
    </w:p>
    <w:p>
      <w:r>
        <w:t>Kullanıcı akışı şu şekilde işler:</w:t>
      </w:r>
    </w:p>
    <w:p>
      <w:pPr>
        <w:pStyle w:val="ListBullet"/>
        <w:spacing w:line="276" w:lineRule="auto"/>
        <w:jc w:val="both"/>
      </w:pPr>
      <w:r>
        <w:rPr>
          <w:rFonts w:ascii="Arial" w:hAnsi="Arial"/>
          <w:sz w:val="24"/>
        </w:rPr>
        <w:t>Kullanıcı ana akışa girer; gönderiler ilgi ve refah skoruna göre sıralanmış olarak karşısına çıkar.</w:t>
      </w:r>
    </w:p>
    <w:p>
      <w:pPr>
        <w:pStyle w:val="ListBullet"/>
        <w:spacing w:line="276" w:lineRule="auto"/>
        <w:jc w:val="both"/>
      </w:pPr>
      <w:r>
        <w:rPr>
          <w:rFonts w:ascii="Arial" w:hAnsi="Arial"/>
          <w:sz w:val="24"/>
        </w:rPr>
        <w:t>Bir gönderiyle etkileşime girer (durur, tıklar, roket atar veya yorum yazar).</w:t>
      </w:r>
    </w:p>
    <w:p>
      <w:pPr>
        <w:pStyle w:val="ListBullet"/>
        <w:spacing w:line="276" w:lineRule="auto"/>
        <w:jc w:val="both"/>
      </w:pPr>
      <w:r>
        <w:rPr>
          <w:rFonts w:ascii="Arial" w:hAnsi="Arial"/>
          <w:sz w:val="24"/>
        </w:rPr>
        <w:t>Sistem bu etkileşimi anında işler; üstteki "tespit edilen durum" göstergesi ve akışın renk doygunluğu güncellenir.</w:t>
      </w:r>
    </w:p>
    <w:p>
      <w:pPr>
        <w:pStyle w:val="ListBullet"/>
        <w:spacing w:line="276" w:lineRule="auto"/>
        <w:jc w:val="both"/>
      </w:pPr>
      <w:r>
        <w:rPr>
          <w:rFonts w:ascii="Arial" w:hAnsi="Arial"/>
          <w:sz w:val="24"/>
        </w:rPr>
        <w:t>"Neden bunu görüyorsun?" butonuna basarak, o gönderiye özel şeffaflık panelini (ilgi skoru/refah cezası/final skoru) açabilir.</w:t>
      </w:r>
    </w:p>
    <w:p>
      <w:pPr>
        <w:pStyle w:val="ListBullet"/>
        <w:spacing w:line="276" w:lineRule="auto"/>
        <w:jc w:val="both"/>
      </w:pPr>
      <w:r>
        <w:rPr>
          <w:rFonts w:ascii="Arial" w:hAnsi="Arial"/>
          <w:sz w:val="24"/>
        </w:rPr>
        <w:t>Yaklaşık her 8 etkileşimde bir, kısa ve geçilebilir bir onay sorusu görünür.</w:t>
      </w:r>
    </w:p>
    <w:p>
      <w:pPr>
        <w:pStyle w:val="ListBullet"/>
        <w:spacing w:line="276" w:lineRule="auto"/>
        <w:jc w:val="both"/>
      </w:pPr>
      <w:r>
        <w:rPr>
          <w:rFonts w:ascii="Arial" w:hAnsi="Arial"/>
          <w:sz w:val="24"/>
        </w:rPr>
        <w:t>İstediği an "Haftalık Rapor" sayfasına geçip o oturumda gerçekten gözlemlenen örüntüleri, model doğrulama istatistiklerini ve gerçek zamanlı üretilen yapay zekâ yorumunu görebilir.</w:t>
      </w:r>
    </w:p>
    <w:p>
      <w:r>
        <w:t>Tasarım kararlarının gerekçesi şu şekildedir: arayüz, kullanıcıyı yeni bir paradigmayla karşılaştırmamak için NSosyal'in mevcut zaman akışı (timeline) mantığına bilinçli olarak sadık kalır; şeffaflık, akışın dışına taşan ayrı bir sayfa yerine her kartın içinde, isteğe bağlı açılan bir panel olarak sunulur, böylece istemeyen kullanıcı hiç rahatsız edilmez. Renk doygunluğu azaltma da aynı ilkeyle (kullanıcı isteğiyle açılıp kapatılabilir bir anahtarla) engelleyici değil, fark ettirici bir sinyal olacak şekilde tasarlanmıştır. Kullanılabilirlik testleri sırasında (gerçek kullanım denemeleriyle) birden fazla somut sorun tespit edilip düzeltilmiştir: aynı gönderiye art arda etkileşim (roket sonra kaydırıp uzaklaşma) önceden sinyali sessizce eziyordu, sinyal birleştirme mantığıyla giderildi; çok kısa/edilgen bir görünme (&lt;0,6sn) tam bir gözlem gibi sayılıp barları saptırıyordu, etkileşim-ağırlıklı ortalamayla düzeltildi; ilk sürümde sayfalama sığ kalıyordu, gerçek sonsuz-kaydırma (infinite scroll) ile 150 örnek gönderiye genişletildi. Erişilebilirlik açısından: tüm renk kodlu göstergeler (spiral seviyesi, kategori barları) aynı zamanda metinsel etiket taşır (yalnızca renge dayanmaz), ve şeffaflık paneli literatürdeki "az ama net" ilkesine uygun kısa/öz tutulmuştur; aşırı detaylı açıklamaların kullanıcı güvenini azaltabileceği ("algorithmic aversion") bulgusuyla uyumludur [9].</w:t>
      </w:r>
    </w:p>
    <w:p>
      <w:r>
        <w:br w:type="page"/>
      </w:r>
    </w:p>
    <w:p>
      <w:pPr>
        <w:pStyle w:val="Heading1"/>
      </w:pPr>
      <w:r>
        <w:t>UYGULANABİLİRLİK</w:t>
      </w:r>
    </w:p>
    <w:p>
      <w:pPr>
        <w:spacing w:before="240" w:after="80"/>
        <w:jc w:val="left"/>
      </w:pPr>
      <w:r>
        <w:rPr>
          <w:rFonts w:ascii="Arial" w:hAnsi="Arial"/>
          <w:b/>
          <w:sz w:val="25"/>
          <w:rFonts w:ascii="Arial" w:hAnsi="Arial"/>
        </w:rPr>
        <w:t>4.1. Verimlilik ve Etkinlik</w:t>
      </w:r>
    </w:p>
    <w:p>
      <w:r>
        <w:t>Sistemin sıralama/tespit katmanı bilinçli olarak hafif ve açıklanabilir modeller (lojistik regresyon, SGD) üzerine kurulmuştur; büyük dil modelleri düzeyinde hesaplama maliyeti taşımaz, milisaniyeler mertebesinde tahmin üretir ve bir GPU'ya ihtiyaç duymadan standart sunucu donanımında çalışabilir. LLM çağrısı yalnızca kullanıcı başına haftada bir üretilen öz-farkındalık raporunda ve isteğe bağlı olarak (talep üzerine, otomatik değil) üretilen uzman özetinde kullanılır; bu da toplam çağrı hacmini düşük tutar. Bu mimari tercih, platforma milyonlarca etkileşimde dahi düşük işletme maliyetiyle ölçeklenebilirlik sağlar; NSosyal'in ~700 bin'i aşkın kullanıcısına, mimarinin doğası gereği büyük bir altyapı yatırımı olmadan teorik olarak hizmet verebilecek bir temel sunar; bu iddia şu aşamada gerçek bir yük testiyle değil, mimari tasarımla desteklenmektedir. Etkinlik açısından, refah katmanının içeriği elemeden yalnızca yumuşattığı somut olarak gösterilmiştir: kullanıcı testinde spiral seviyesi yükseldiğinde negatif içerik final skorunda ölçülebilir bir ceza alıp sırada geriye düşerken, kullanıcının ilgi alanı hiç terk edilmemiştir. Bu, sistemin "etkileşimi düşürmeden refahı önceleme" hedefinde etkin olduğunun somut bir kanıtıdır: kullanıcı istediği konuyu görmeye devam eder, yalnızca o konunun en tetikleyici örnekleri geri plana çekilir.</w:t>
      </w:r>
    </w:p>
    <w:p>
      <w:pPr>
        <w:spacing w:before="240" w:after="80"/>
        <w:jc w:val="left"/>
      </w:pPr>
      <w:r>
        <w:rPr>
          <w:rFonts w:ascii="Arial" w:hAnsi="Arial"/>
          <w:b/>
          <w:sz w:val="25"/>
          <w:rFonts w:ascii="Arial" w:hAnsi="Arial"/>
        </w:rPr>
        <w:t>4.2. Hedef Kitle</w:t>
      </w:r>
    </w:p>
    <w:p>
      <w:r>
        <w:t>Doğrudan hedef kitle, NSosyal'in ~700 bin'i aşkın aktif kullanıcısıdır; özellikle gündem/haber içeriğiyle yoğun etkileşime giren, uzun oturumlar geçiren kullanıcı segmenti. Dolaylı olarak, sistemin ürettiği şeffaflık ve refah verileri içerik üreticileri (üretici paneli önerisi) ve platform yöneticileri için de değer taşır. Genel olarak çözüm, tasarımı gereği herhangi bir sosyal medya platformuna uyarlanabilir bir mimari sunduğundan hedef kitle NSosyal ile sınırlı kalmayan bir büyüme potansiyeline sahiptir.</w:t>
      </w:r>
    </w:p>
    <w:p>
      <w:pPr>
        <w:spacing w:before="240" w:after="80"/>
        <w:jc w:val="left"/>
      </w:pPr>
      <w:r>
        <w:rPr>
          <w:rFonts w:ascii="Arial" w:hAnsi="Arial"/>
          <w:b/>
          <w:sz w:val="25"/>
          <w:rFonts w:ascii="Arial" w:hAnsi="Arial"/>
        </w:rPr>
        <w:t>4.3. Teknolojik Yenilik ve Uygulanabilirlik</w:t>
      </w:r>
    </w:p>
    <w:p>
      <w:r>
        <w:t>Ürün, fikir düzeyinde kalmayıp uçtan uca çalışan bir prototiple desteklenmiştir: gerçek bir BERT modeli, eğitilmiş sınıflandırıcılar, çalışan bir backend/API, gerçek zamanlı bir arayüz ve canlı test edilmiş bir LLM entegrasyonu içerir. Teknolojik yenilik düzeyi, tek bir modelin doğruluğunda değil, iki ayrı davranış modelinin (spiral tespiti ve psikolojik izlenim) birbirinden bağımsız çalışıp yalnızca biri sıralamayı etkileyecek şekilde tasarlanmasında, ve kendi kendini doğrulama döngüsüyle modelin gerçek performansının sürekli ölçülmesinde yatar. Mimari, yeni sinyaller (örn. ek etkileşim türleri) veya yeni kategoriler eklemeye açık, ölçeklenebilir bir yapıya sahiptir; kişiselleştirme mekanizması (online öğrenme, bkz. Bölüm 6.2) bu ölçeklenebilirliğin somut bir kanıtıdır.</w:t>
      </w:r>
    </w:p>
    <w:p>
      <w:r>
        <w:t>Prototip, bu vizyonun tamamını değil, temel mekanizmasını kanıtlar. Zaman ve kapsam kısıtları nedeniyle şu an eklenmeyen, ama tasarım aşamasında değerlendirilip somut birer gelecek iş maddesi olarak tanımlanan yönler şunlardır:</w:t>
      </w:r>
    </w:p>
    <w:p>
      <w:pPr>
        <w:pStyle w:val="ListBullet"/>
        <w:spacing w:line="276" w:lineRule="auto"/>
        <w:jc w:val="both"/>
      </w:pPr>
      <w:r>
        <w:rPr>
          <w:rFonts w:ascii="Arial" w:hAnsi="Arial"/>
          <w:sz w:val="24"/>
        </w:rPr>
        <w:t>Perspektif Köprüsü: kullanıcı bir konuda olumsuz veya çaresizlik hissi veren içerikte takılı kaldığında, aynı konunun çözüme dönük bir yönünü gösteren bir gönderiyi köprü olarak sunmak. Sistemin konu-nötr ilkesini siyasi taraf değil duygusal ton ekseninde koruyabildiği için mevcut mimariye uygun görünmektedir; ancak hangi sinyalin "çözüme dönük" içeriği belirleyeceği ayrı bir tasarım çalışması gerektirir.</w:t>
      </w:r>
    </w:p>
    <w:p>
      <w:pPr>
        <w:pStyle w:val="ListBullet"/>
        <w:spacing w:line="276" w:lineRule="auto"/>
        <w:jc w:val="both"/>
      </w:pPr>
      <w:r>
        <w:rPr>
          <w:rFonts w:ascii="Arial" w:hAnsi="Arial"/>
          <w:sz w:val="24"/>
        </w:rPr>
        <w:t>Kişiselleştirmenin üretim kalitesine taşınması (bkz. Bölüm 6.2): şu anki online öğrenme prototipi, düzenlileştirme (regularization) ve kullanıcı bazlı kalibrasyon eklenerek gerçek, çok kullanıcılı bir sisteme dönüştürülebilir.</w:t>
      </w:r>
    </w:p>
    <w:p>
      <w:pPr>
        <w:pStyle w:val="ListBullet"/>
        <w:spacing w:line="276" w:lineRule="auto"/>
        <w:jc w:val="both"/>
      </w:pPr>
      <w:r>
        <w:rPr>
          <w:rFonts w:ascii="Arial" w:hAnsi="Arial"/>
          <w:sz w:val="24"/>
        </w:rPr>
        <w:t>Gizlilik önceliğinin artırılması: analiz bileşenlerinin bir kısmının kullanıcı cihazında çalışması ve kişiselleştirmenin federe öğrenmeyle merkezi bir sunucu olmadan paylaşılması. Mevcut prototip şu an tamamen sunucu taraflı çalışmaktadır; bu ayrımın dürüstçe belirtilmesi gerekir.</w:t>
      </w:r>
    </w:p>
    <w:p>
      <w:pPr>
        <w:pStyle w:val="ListBullet"/>
        <w:spacing w:line="276" w:lineRule="auto"/>
        <w:jc w:val="both"/>
      </w:pPr>
      <w:r>
        <w:rPr>
          <w:rFonts w:ascii="Arial" w:hAnsi="Arial"/>
          <w:sz w:val="24"/>
        </w:rPr>
        <w:t>Dijital Refah Ağacı: haftalık/aylık metin raporunun yanına, refah eğiliminin zaman içindeki seyrini temsil eden görsel bir metafor eklemek. Mevcut metin ve çubuk grafik raporu literatürdeki "az ama net" ilkesine zaten uygun olduğundan, bu eklenti karmaşıklaştırma riskine karşı dikkatli tasarlanmalıdır.</w:t>
      </w:r>
    </w:p>
    <w:p>
      <w:pPr>
        <w:pStyle w:val="ListBullet"/>
        <w:spacing w:line="276" w:lineRule="auto"/>
        <w:jc w:val="both"/>
      </w:pPr>
      <w:r>
        <w:rPr>
          <w:rFonts w:ascii="Arial" w:hAnsi="Arial"/>
          <w:sz w:val="24"/>
        </w:rPr>
        <w:t>Dinamik Sürtünme: renk doygunluğu azaltmanın ötesinde, spiral seviyesi çok yükseldiğinde kaydırma deneyimine küçük bir duraklama veya onay adımı eklemek. Bu, mevcut "engellemek değil fark ettirmek" ilkesine göre daha agresif bir müdahaledir; kullanıcı özerkliğini kısıtlama riski nedeniyle ayrı bir kullanıcı araştırması gerektirdiğinden bu aşamada önceliklendirilmemiştir.</w:t>
      </w:r>
    </w:p>
    <w:p>
      <w:r>
        <w:br w:type="page"/>
      </w:r>
    </w:p>
    <w:p>
      <w:pPr>
        <w:pStyle w:val="Heading1"/>
      </w:pPr>
      <w:r>
        <w:t>YAYGIN ETKİ</w:t>
      </w:r>
    </w:p>
    <w:p>
      <w:pPr>
        <w:spacing w:before="240" w:after="80"/>
        <w:jc w:val="left"/>
      </w:pPr>
      <w:r>
        <w:rPr>
          <w:rFonts w:ascii="Arial" w:hAnsi="Arial"/>
          <w:b/>
          <w:sz w:val="25"/>
          <w:rFonts w:ascii="Arial" w:hAnsi="Arial"/>
        </w:rPr>
        <w:t>5.1. Toplumsal Fayda ve Erişim Potansiyeli</w:t>
      </w:r>
    </w:p>
    <w:p>
      <w:r>
        <w:t>Proje, sosyal medya kullanımının olası olumsuz duygusal etkilerini azaltmaya yönelik somut, ölçülebilir bir katkı sunar. Toplumsal fayda üç düzeyde değerlendirilebilir: (i) bireysel düzeyde, haftalık öz-farkındalık raporu kullanıcıya kendi dijital alışkanlıkları hakkında olası örüntüleri (teşhis değil) gösterir ve isteğe bağlı olarak bir ruh sağlığı uzmanına götürülebilecek, yorumsuz bir ham veri özeti üretebilir; (ii) platform düzeyinde, refah-farkında sıralama yaklaşımının akademik emsali [7][8] literatürde giderek daha fazla destek bulmaktadır; (iii) toplumsal düzeyde, konu-nötr ve reklam-manipülasyonuna kapalı tasarım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w:t>
      </w:r>
    </w:p>
    <w:p>
      <w:r>
        <w:br w:type="page"/>
      </w:r>
    </w:p>
    <w:p>
      <w:pPr>
        <w:pStyle w:val="Heading1"/>
      </w:pPr>
      <w:r>
        <w:t>SÜRDÜRÜLEBİLİRLİK</w:t>
      </w:r>
    </w:p>
    <w:p>
      <w:pPr>
        <w:spacing w:before="240" w:after="80"/>
        <w:jc w:val="left"/>
      </w:pPr>
      <w:r>
        <w:rPr>
          <w:rFonts w:ascii="Arial" w:hAnsi="Arial"/>
          <w:b/>
          <w:sz w:val="25"/>
          <w:rFonts w:ascii="Arial" w:hAnsi="Arial"/>
        </w:rPr>
        <w:t>6.1. Ticarileştirme Potansiyeli ve İş Modeli</w:t>
      </w:r>
    </w:p>
    <w:p>
      <w:r>
        <w:t>NSosyal vakıf tabanlı ve reklamsız bir platform olduğundan klasik reklam gelirine dayalı bir model zorlanmamıştır; bunun yerine dört tamamlayıcı yön önerilmektedir: (i) düşük işletme maliyeti: hafif/açıklanabilir modeller büyük dil modelleri kadar pahalı değildir, bu doğrudan bir maliyet avantajına dönüşür; (ii) anonim/toplu "dijital refah eğilimleri" verisiyle üniversite, TÜBİTAK veya ruh sağlığı sivil toplum kuruluşlarıyla araştırma ortaklığı (kişisel veri paylaşılmadan, yalnızca toplu istatistik düzeyinde); (iii) "dijital-refah-öncelikli platform" marka değeri üzerinden kurumsal sponsorluk; (iv) mevcut roket sistemine benzer, gönüllülük esaslı opsiyonel destek/bağış mekanizması. Bu model, ürünün mevcut pazar şartlarında (vakıf-destekli, reklamsız yerli platform bağlamında) üretilebilir olmasını gerçekçi bir temele oturtur.</w:t>
      </w:r>
    </w:p>
    <w:p>
      <w:pPr>
        <w:spacing w:before="240" w:after="80"/>
        <w:jc w:val="left"/>
      </w:pPr>
      <w:r>
        <w:rPr>
          <w:rFonts w:ascii="Arial" w:hAnsi="Arial"/>
          <w:b/>
          <w:sz w:val="25"/>
          <w:rFonts w:ascii="Arial" w:hAnsi="Arial"/>
        </w:rPr>
        <w:t>6.2. Finansal, Teknik ve Sosyal Sürdürülebilirlik</w:t>
      </w:r>
    </w:p>
    <w:p>
      <w:r>
        <w:t>Finansal sürdürülebilirlik, düşük işletme maliyetli mimari tercihinden (büyük/pahalı modeller yerine açıklanabilir, hafif sınıflandırıcılar) doğrudan gelir. Teknik sürdürülebilirlik için, sistemin kişiselleştirme mekanizması (SGDClassifier'ın partial_fit özelliğiyle çevrimiçi öğrenme) örnek bir prototip olarak uygulanmış ve dürüstçe sınırları belirtilmiştir. Literatür, davranıştan duygu-durumu çıkarımının meşru ama kişiye-özgü kalibrasyon olmadan sınırlı kaldığını göstermektedir [6]; kişiselleştirme mekanizması tam olarak bu ihtiyaca yönelik bir ilk adımdır. Demo ortamında öğrenme adımı görünür olması için kasıtlı büyütülmüştür, gerçek üretimde çok daha küçük bir adım büyüklüğü ve düzenlileştirme/sınır (clipping) eklenmesi gerektiği açıkça not edilmiştir; bu, değişen kullanıcı ihtiyaçlarına zamanla uyum sağlayabilecek bir temel sunar. Sosyal sürdürülebilirlik açısından, modelin sınırlılıkları (sentetik eğitim verisi, klinik doğrulama eksikliği) raporun her aşamasında dürüstçe belirtilmiş, kendi kendini doğrulama döngüsüyle sistemin zamanla gerçek kullanıcı geri bildirimiyle kalibre edilebilecek bir altyapı kurulmuştur; bu, kullanıcı güveninin uzun vadede korunmasını destekler.</w:t>
      </w:r>
    </w:p>
    <w:p>
      <w:r>
        <w:br w:type="page"/>
      </w:r>
    </w:p>
    <w:p>
      <w:pPr>
        <w:pStyle w:val="Heading1"/>
      </w:pPr>
      <w:r>
        <w:t>PROJE TAKVİMİ</w:t>
      </w:r>
    </w:p>
    <w:p>
      <w:pPr>
        <w:spacing w:before="240" w:after="80"/>
        <w:jc w:val="left"/>
      </w:pPr>
      <w:r>
        <w:rPr>
          <w:rFonts w:ascii="Arial" w:hAnsi="Arial"/>
          <w:b/>
          <w:sz w:val="25"/>
          <w:rFonts w:ascii="Arial" w:hAnsi="Arial"/>
        </w:rPr>
        <w:t>7.1. İş Paketleri ve Zamanlama</w:t>
      </w:r>
    </w:p>
    <w:p>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Arial" w:hAnsi="Arial"/>
                <w:b/>
                <w:sz w:val="21"/>
              </w:rPr>
              <w:t>İş Paketi</w:t>
            </w:r>
          </w:p>
        </w:tc>
        <w:tc>
          <w:tcPr>
            <w:tcW w:type="dxa" w:w="2351"/>
          </w:tcPr>
          <w:p>
            <w:r/>
            <w:r>
              <w:rPr>
                <w:rFonts w:ascii="Arial" w:hAnsi="Arial"/>
                <w:b/>
                <w:sz w:val="21"/>
              </w:rPr>
              <w:t>Kapsam</w:t>
            </w:r>
          </w:p>
        </w:tc>
        <w:tc>
          <w:tcPr>
            <w:tcW w:type="dxa" w:w="2351"/>
          </w:tcPr>
          <w:p>
            <w:r/>
            <w:r>
              <w:rPr>
                <w:rFonts w:ascii="Arial" w:hAnsi="Arial"/>
                <w:b/>
                <w:sz w:val="21"/>
              </w:rPr>
              <w:t>Dönem</w:t>
            </w:r>
          </w:p>
        </w:tc>
        <w:tc>
          <w:tcPr>
            <w:tcW w:type="dxa" w:w="2351"/>
          </w:tcPr>
          <w:p>
            <w:r/>
            <w:r>
              <w:rPr>
                <w:rFonts w:ascii="Arial" w:hAnsi="Arial"/>
                <w:b/>
                <w:sz w:val="21"/>
              </w:rPr>
              <w:t>Durum</w:t>
            </w:r>
          </w:p>
        </w:tc>
      </w:tr>
      <w:tr>
        <w:tc>
          <w:tcPr>
            <w:tcW w:type="dxa" w:w="2351"/>
          </w:tcPr>
          <w:p>
            <w:r/>
            <w:r>
              <w:rPr>
                <w:rFonts w:ascii="Arial" w:hAnsi="Arial"/>
                <w:sz w:val="21"/>
              </w:rPr>
              <w:t>İP1: Mimari ve ilk prototip</w:t>
            </w:r>
          </w:p>
        </w:tc>
        <w:tc>
          <w:tcPr>
            <w:tcW w:type="dxa" w:w="2351"/>
          </w:tcPr>
          <w:p>
            <w:r/>
            <w:r>
              <w:rPr>
                <w:rFonts w:ascii="Arial" w:hAnsi="Arial"/>
                <w:sz w:val="21"/>
              </w:rPr>
              <w:t>İki katmanlı sıralama motoru, spiral/psikolojik model tasarımı, sözlük-tabanlı ilk doğrulama</w:t>
            </w:r>
          </w:p>
        </w:tc>
        <w:tc>
          <w:tcPr>
            <w:tcW w:type="dxa" w:w="2351"/>
          </w:tcPr>
          <w:p>
            <w:r/>
            <w:r>
              <w:rPr>
                <w:rFonts w:ascii="Arial" w:hAnsi="Arial"/>
                <w:sz w:val="21"/>
              </w:rPr>
              <w:t>Ağustos (1. hafta)</w:t>
            </w:r>
          </w:p>
        </w:tc>
        <w:tc>
          <w:tcPr>
            <w:tcW w:type="dxa" w:w="2351"/>
          </w:tcPr>
          <w:p>
            <w:r/>
            <w:r>
              <w:rPr>
                <w:rFonts w:ascii="Arial" w:hAnsi="Arial"/>
                <w:sz w:val="21"/>
              </w:rPr>
              <w:t>Tamamlandı</w:t>
            </w:r>
          </w:p>
        </w:tc>
      </w:tr>
      <w:tr>
        <w:tc>
          <w:tcPr>
            <w:tcW w:type="dxa" w:w="2351"/>
          </w:tcPr>
          <w:p>
            <w:r/>
            <w:r>
              <w:rPr>
                <w:rFonts w:ascii="Arial" w:hAnsi="Arial"/>
                <w:sz w:val="21"/>
              </w:rPr>
              <w:t>İP2: Gerçek model entegrasyonu</w:t>
            </w:r>
          </w:p>
        </w:tc>
        <w:tc>
          <w:tcPr>
            <w:tcW w:type="dxa" w:w="2351"/>
          </w:tcPr>
          <w:p>
            <w:r/>
            <w:r>
              <w:rPr>
                <w:rFonts w:ascii="Arial" w:hAnsi="Arial"/>
                <w:sz w:val="21"/>
              </w:rPr>
              <w:t>BERT entegrasyonu, bağımsız doğrulama, ince ayar, sınıflandırıcı eğitimi</w:t>
            </w:r>
          </w:p>
        </w:tc>
        <w:tc>
          <w:tcPr>
            <w:tcW w:type="dxa" w:w="2351"/>
          </w:tcPr>
          <w:p>
            <w:r/>
            <w:r>
              <w:rPr>
                <w:rFonts w:ascii="Arial" w:hAnsi="Arial"/>
                <w:sz w:val="21"/>
              </w:rPr>
              <w:t>Ağustos (2. hafta)</w:t>
            </w:r>
          </w:p>
        </w:tc>
        <w:tc>
          <w:tcPr>
            <w:tcW w:type="dxa" w:w="2351"/>
          </w:tcPr>
          <w:p>
            <w:r/>
            <w:r>
              <w:rPr>
                <w:rFonts w:ascii="Arial" w:hAnsi="Arial"/>
                <w:sz w:val="21"/>
              </w:rPr>
              <w:t>Tamamlandı</w:t>
            </w:r>
          </w:p>
        </w:tc>
      </w:tr>
      <w:tr>
        <w:tc>
          <w:tcPr>
            <w:tcW w:type="dxa" w:w="2351"/>
          </w:tcPr>
          <w:p>
            <w:r/>
            <w:r>
              <w:rPr>
                <w:rFonts w:ascii="Arial" w:hAnsi="Arial"/>
                <w:sz w:val="21"/>
              </w:rPr>
              <w:t>İP3: Backend/arayüz ve kullanıcı testi</w:t>
            </w:r>
          </w:p>
        </w:tc>
        <w:tc>
          <w:tcPr>
            <w:tcW w:type="dxa" w:w="2351"/>
          </w:tcPr>
          <w:p>
            <w:r/>
            <w:r>
              <w:rPr>
                <w:rFonts w:ascii="Arial" w:hAnsi="Arial"/>
                <w:sz w:val="21"/>
              </w:rPr>
              <w:t>FastAPI backend, web arayüzü, kullanılabilirlik testleri ve düzeltmeler</w:t>
            </w:r>
          </w:p>
        </w:tc>
        <w:tc>
          <w:tcPr>
            <w:tcW w:type="dxa" w:w="2351"/>
          </w:tcPr>
          <w:p>
            <w:r/>
            <w:r>
              <w:rPr>
                <w:rFonts w:ascii="Arial" w:hAnsi="Arial"/>
                <w:sz w:val="21"/>
              </w:rPr>
              <w:t>Ağustos (2-3. hafta)</w:t>
            </w:r>
          </w:p>
        </w:tc>
        <w:tc>
          <w:tcPr>
            <w:tcW w:type="dxa" w:w="2351"/>
          </w:tcPr>
          <w:p>
            <w:r/>
            <w:r>
              <w:rPr>
                <w:rFonts w:ascii="Arial" w:hAnsi="Arial"/>
                <w:sz w:val="21"/>
              </w:rPr>
              <w:t>Tamamlandı</w:t>
            </w:r>
          </w:p>
        </w:tc>
      </w:tr>
      <w:tr>
        <w:tc>
          <w:tcPr>
            <w:tcW w:type="dxa" w:w="2351"/>
          </w:tcPr>
          <w:p>
            <w:r/>
            <w:r>
              <w:rPr>
                <w:rFonts w:ascii="Arial" w:hAnsi="Arial"/>
                <w:sz w:val="21"/>
              </w:rPr>
              <w:t>İP4: Şeffaflık, rapor ve doğrulama döngüsü</w:t>
            </w:r>
          </w:p>
        </w:tc>
        <w:tc>
          <w:tcPr>
            <w:tcW w:type="dxa" w:w="2351"/>
          </w:tcPr>
          <w:p>
            <w:r/>
            <w:r>
              <w:rPr>
                <w:rFonts w:ascii="Arial" w:hAnsi="Arial"/>
                <w:sz w:val="21"/>
              </w:rPr>
              <w:t>LLM destekli haftalık rapor, kendi kendini doğrulama döngüsü, kişiselleştirme</w:t>
            </w:r>
          </w:p>
        </w:tc>
        <w:tc>
          <w:tcPr>
            <w:tcW w:type="dxa" w:w="2351"/>
          </w:tcPr>
          <w:p>
            <w:r/>
            <w:r>
              <w:rPr>
                <w:rFonts w:ascii="Arial" w:hAnsi="Arial"/>
                <w:sz w:val="21"/>
              </w:rPr>
              <w:t>Ağustos (3. hafta)</w:t>
            </w:r>
          </w:p>
        </w:tc>
        <w:tc>
          <w:tcPr>
            <w:tcW w:type="dxa" w:w="2351"/>
          </w:tcPr>
          <w:p>
            <w:r/>
            <w:r>
              <w:rPr>
                <w:rFonts w:ascii="Arial" w:hAnsi="Arial"/>
                <w:sz w:val="21"/>
              </w:rPr>
              <w:t>Tamamlandı</w:t>
            </w:r>
          </w:p>
        </w:tc>
      </w:tr>
      <w:tr>
        <w:tc>
          <w:tcPr>
            <w:tcW w:type="dxa" w:w="2351"/>
          </w:tcPr>
          <w:p>
            <w:r/>
            <w:r>
              <w:rPr>
                <w:rFonts w:ascii="Arial" w:hAnsi="Arial"/>
                <w:sz w:val="21"/>
              </w:rPr>
              <w:t>İP5: Teknik rapor ve sürüm kontrolü</w:t>
            </w:r>
          </w:p>
        </w:tc>
        <w:tc>
          <w:tcPr>
            <w:tcW w:type="dxa" w:w="2351"/>
          </w:tcPr>
          <w:p>
            <w:r/>
            <w:r>
              <w:rPr>
                <w:rFonts w:ascii="Arial" w:hAnsi="Arial"/>
                <w:sz w:val="21"/>
              </w:rPr>
              <w:t>Teknik rapor yazımı, GitHub deposunun düzenlenmesi ve teslimi</w:t>
            </w:r>
          </w:p>
        </w:tc>
        <w:tc>
          <w:tcPr>
            <w:tcW w:type="dxa" w:w="2351"/>
          </w:tcPr>
          <w:p>
            <w:r/>
            <w:r>
              <w:rPr>
                <w:rFonts w:ascii="Arial" w:hAnsi="Arial"/>
                <w:sz w:val="21"/>
              </w:rPr>
              <w:t>24 Ağustos 2026'ya kadar</w:t>
            </w:r>
          </w:p>
        </w:tc>
        <w:tc>
          <w:tcPr>
            <w:tcW w:type="dxa" w:w="2351"/>
          </w:tcPr>
          <w:p>
            <w:r/>
            <w:r>
              <w:rPr>
                <w:rFonts w:ascii="Arial" w:hAnsi="Arial"/>
                <w:sz w:val="21"/>
              </w:rPr>
              <w:t>Tamamlandı</w:t>
            </w:r>
          </w:p>
        </w:tc>
      </w:tr>
      <w:tr>
        <w:tc>
          <w:tcPr>
            <w:tcW w:type="dxa" w:w="2351"/>
          </w:tcPr>
          <w:p>
            <w:r/>
            <w:r>
              <w:rPr>
                <w:rFonts w:ascii="Arial" w:hAnsi="Arial"/>
                <w:sz w:val="21"/>
              </w:rPr>
              <w:t>İP6: Mentörlük geri bildirimlerinin uygulanması</w:t>
            </w:r>
          </w:p>
        </w:tc>
        <w:tc>
          <w:tcPr>
            <w:tcW w:type="dxa" w:w="2351"/>
          </w:tcPr>
          <w:p>
            <w:r/>
            <w:r>
              <w:rPr>
                <w:rFonts w:ascii="Arial" w:hAnsi="Arial"/>
                <w:sz w:val="21"/>
              </w:rPr>
              <w:t>Mentör önerileri doğrultusunda model/mimari iyileştirmeleri</w:t>
            </w:r>
          </w:p>
        </w:tc>
        <w:tc>
          <w:tcPr>
            <w:tcW w:type="dxa" w:w="2351"/>
          </w:tcPr>
          <w:p>
            <w:r/>
            <w:r>
              <w:rPr>
                <w:rFonts w:ascii="Arial" w:hAnsi="Arial"/>
                <w:sz w:val="21"/>
              </w:rPr>
              <w:t>2-7 Eylül 2026</w:t>
            </w:r>
          </w:p>
        </w:tc>
        <w:tc>
          <w:tcPr>
            <w:tcW w:type="dxa" w:w="2351"/>
          </w:tcPr>
          <w:p>
            <w:r/>
            <w:r>
              <w:rPr>
                <w:rFonts w:ascii="Arial" w:hAnsi="Arial"/>
                <w:sz w:val="21"/>
              </w:rPr>
              <w:t>Planlandı</w:t>
            </w:r>
          </w:p>
        </w:tc>
      </w:tr>
      <w:tr>
        <w:tc>
          <w:tcPr>
            <w:tcW w:type="dxa" w:w="2351"/>
          </w:tcPr>
          <w:p>
            <w:r/>
            <w:r>
              <w:rPr>
                <w:rFonts w:ascii="Arial" w:hAnsi="Arial"/>
                <w:sz w:val="21"/>
              </w:rPr>
              <w:t>İP7: Kişiye-özgü kalibrasyon ve genişletme</w:t>
            </w:r>
          </w:p>
        </w:tc>
        <w:tc>
          <w:tcPr>
            <w:tcW w:type="dxa" w:w="2351"/>
          </w:tcPr>
          <w:p>
            <w:r/>
            <w:r>
              <w:rPr>
                <w:rFonts w:ascii="Arial" w:hAnsi="Arial"/>
                <w:sz w:val="21"/>
              </w:rPr>
              <w:t>Kişiselleştirme mekanizmasının düzenlileştirme ile güçlendirilmesi, gelecek-vizyonu özelliklerinin (Perspektif Köprüsü vb.) fizibilite çalışması</w:t>
            </w:r>
          </w:p>
        </w:tc>
        <w:tc>
          <w:tcPr>
            <w:tcW w:type="dxa" w:w="2351"/>
          </w:tcPr>
          <w:p>
            <w:r/>
            <w:r>
              <w:rPr>
                <w:rFonts w:ascii="Arial" w:hAnsi="Arial"/>
                <w:sz w:val="21"/>
              </w:rPr>
              <w:t>Eylül (1-2. hafta)</w:t>
            </w:r>
          </w:p>
        </w:tc>
        <w:tc>
          <w:tcPr>
            <w:tcW w:type="dxa" w:w="2351"/>
          </w:tcPr>
          <w:p>
            <w:r/>
            <w:r>
              <w:rPr>
                <w:rFonts w:ascii="Arial" w:hAnsi="Arial"/>
                <w:sz w:val="21"/>
              </w:rPr>
              <w:t>Planlandı</w:t>
            </w:r>
          </w:p>
        </w:tc>
      </w:tr>
      <w:tr>
        <w:tc>
          <w:tcPr>
            <w:tcW w:type="dxa" w:w="2351"/>
          </w:tcPr>
          <w:p>
            <w:r/>
            <w:r>
              <w:rPr>
                <w:rFonts w:ascii="Arial" w:hAnsi="Arial"/>
                <w:sz w:val="21"/>
              </w:rPr>
              <w:t>İP8: Final sunum ve canlı demo hazırlığı</w:t>
            </w:r>
          </w:p>
        </w:tc>
        <w:tc>
          <w:tcPr>
            <w:tcW w:type="dxa" w:w="2351"/>
          </w:tcPr>
          <w:p>
            <w:r/>
            <w:r>
              <w:rPr>
                <w:rFonts w:ascii="Arial" w:hAnsi="Arial"/>
                <w:sz w:val="21"/>
              </w:rPr>
              <w:t>Sunum dosyası, kullanıcı senaryoları, canlı demo akışının hazırlanması</w:t>
            </w:r>
          </w:p>
        </w:tc>
        <w:tc>
          <w:tcPr>
            <w:tcW w:type="dxa" w:w="2351"/>
          </w:tcPr>
          <w:p>
            <w:r/>
            <w:r>
              <w:rPr>
                <w:rFonts w:ascii="Arial" w:hAnsi="Arial"/>
                <w:sz w:val="21"/>
              </w:rPr>
              <w:t>14 Eylül 2026'ya kadar</w:t>
            </w:r>
          </w:p>
        </w:tc>
        <w:tc>
          <w:tcPr>
            <w:tcW w:type="dxa" w:w="2351"/>
          </w:tcPr>
          <w:p>
            <w:r/>
            <w:r>
              <w:rPr>
                <w:rFonts w:ascii="Arial" w:hAnsi="Arial"/>
                <w:sz w:val="21"/>
              </w:rPr>
              <w:t>Planlandı</w:t>
            </w:r>
          </w:p>
        </w:tc>
      </w:tr>
    </w:tbl>
    <w:p/>
    <w:p>
      <w:r>
        <w:br w:type="page"/>
      </w:r>
    </w:p>
    <w:p>
      <w:pPr>
        <w:pStyle w:val="Heading1"/>
      </w:pPr>
      <w:r>
        <w:t>TAKIM YAPISI</w:t>
      </w:r>
    </w:p>
    <w:p>
      <w:pPr>
        <w:spacing w:before="240" w:after="80"/>
        <w:jc w:val="left"/>
      </w:pPr>
      <w:r>
        <w:rPr>
          <w:rFonts w:ascii="Arial" w:hAnsi="Arial"/>
          <w:b/>
          <w:sz w:val="25"/>
          <w:rFonts w:ascii="Arial" w:hAnsi="Arial"/>
        </w:rPr>
        <w:t>8.1. Takım Organizasyonu ve Roller</w:t>
      </w:r>
    </w:p>
    <w:p>
      <w:r>
        <w:t>Değerlendirme esasları gereği takım üyelerinin isim ve fotoğraf gibi kişisel bilgilerine bu bölümde yer verilmemiştir. Takım, yarışma kayıt şartına uygun olarak 2-5 kişi ve bir takım kaptanından oluşmaktadır; görev dağılımı aşağıda disiplin/rol bazında özetlenmiştir.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Rol</w:t>
            </w:r>
          </w:p>
        </w:tc>
        <w:tc>
          <w:tcPr>
            <w:tcW w:type="dxa" w:w="4703"/>
          </w:tcPr>
          <w:p>
            <w:r/>
            <w:r>
              <w:rPr>
                <w:rFonts w:ascii="Arial" w:hAnsi="Arial"/>
                <w:b/>
                <w:sz w:val="21"/>
              </w:rPr>
              <w:t>Katkı Alanı</w:t>
            </w:r>
          </w:p>
        </w:tc>
      </w:tr>
      <w:tr>
        <w:tc>
          <w:tcPr>
            <w:tcW w:type="dxa" w:w="4703"/>
          </w:tcPr>
          <w:p>
            <w:r/>
            <w:r>
              <w:rPr>
                <w:rFonts w:ascii="Arial" w:hAnsi="Arial"/>
                <w:sz w:val="21"/>
              </w:rPr>
              <w:t>Takım Kaptanı / Proje Yönetimi</w:t>
            </w:r>
          </w:p>
        </w:tc>
        <w:tc>
          <w:tcPr>
            <w:tcW w:type="dxa" w:w="4703"/>
          </w:tcPr>
          <w:p>
            <w:r/>
            <w:r>
              <w:rPr>
                <w:rFonts w:ascii="Arial" w:hAnsi="Arial"/>
                <w:sz w:val="21"/>
              </w:rPr>
              <w:t>Genel koordinasyon, yarışma süreç takibi, teslim yönetimi</w:t>
            </w:r>
          </w:p>
        </w:tc>
      </w:tr>
      <w:tr>
        <w:tc>
          <w:tcPr>
            <w:tcW w:type="dxa" w:w="4703"/>
          </w:tcPr>
          <w:p>
            <w:r/>
            <w:r>
              <w:rPr>
                <w:rFonts w:ascii="Arial" w:hAnsi="Arial"/>
                <w:sz w:val="21"/>
              </w:rPr>
              <w:t>Yazılım Geliştirme (Backend)</w:t>
            </w:r>
          </w:p>
        </w:tc>
        <w:tc>
          <w:tcPr>
            <w:tcW w:type="dxa" w:w="4703"/>
          </w:tcPr>
          <w:p>
            <w:r/>
            <w:r>
              <w:rPr>
                <w:rFonts w:ascii="Arial" w:hAnsi="Arial"/>
                <w:sz w:val="21"/>
              </w:rPr>
              <w:t>FastAPI backend, API tasarımı, sürüm kontrolü</w:t>
            </w:r>
          </w:p>
        </w:tc>
      </w:tr>
      <w:tr>
        <w:tc>
          <w:tcPr>
            <w:tcW w:type="dxa" w:w="4703"/>
          </w:tcPr>
          <w:p>
            <w:r/>
            <w:r>
              <w:rPr>
                <w:rFonts w:ascii="Arial" w:hAnsi="Arial"/>
                <w:sz w:val="21"/>
              </w:rPr>
              <w:t>Yapay Zekâ / Veri Bilimi</w:t>
            </w:r>
          </w:p>
        </w:tc>
        <w:tc>
          <w:tcPr>
            <w:tcW w:type="dxa" w:w="4703"/>
          </w:tcPr>
          <w:p>
            <w:r/>
            <w:r>
              <w:rPr>
                <w:rFonts w:ascii="Arial" w:hAnsi="Arial"/>
                <w:sz w:val="21"/>
              </w:rPr>
              <w:t>Model eğitimi, bağımsız doğrulama, ince ayar, performans ölçümü</w:t>
            </w:r>
          </w:p>
        </w:tc>
      </w:tr>
      <w:tr>
        <w:tc>
          <w:tcPr>
            <w:tcW w:type="dxa" w:w="4703"/>
          </w:tcPr>
          <w:p>
            <w:r/>
            <w:r>
              <w:rPr>
                <w:rFonts w:ascii="Arial" w:hAnsi="Arial"/>
                <w:sz w:val="21"/>
              </w:rPr>
              <w:t>Ürün / UI-UX Tasarımı</w:t>
            </w:r>
          </w:p>
        </w:tc>
        <w:tc>
          <w:tcPr>
            <w:tcW w:type="dxa" w:w="4703"/>
          </w:tcPr>
          <w:p>
            <w:r/>
            <w:r>
              <w:rPr>
                <w:rFonts w:ascii="Arial" w:hAnsi="Arial"/>
                <w:sz w:val="21"/>
              </w:rPr>
              <w:t>Arayüz tasarımı, kullanıcı akışları, kullanılabilirlik testleri</w:t>
            </w:r>
          </w:p>
        </w:tc>
      </w:tr>
      <w:tr>
        <w:tc>
          <w:tcPr>
            <w:tcW w:type="dxa" w:w="4703"/>
          </w:tcPr>
          <w:p>
            <w:r/>
            <w:r>
              <w:rPr>
                <w:rFonts w:ascii="Arial" w:hAnsi="Arial"/>
                <w:sz w:val="21"/>
              </w:rPr>
              <w:t>Araştırma ve Dokümantasyon</w:t>
            </w:r>
          </w:p>
        </w:tc>
        <w:tc>
          <w:tcPr>
            <w:tcW w:type="dxa" w:w="4703"/>
          </w:tcPr>
          <w:p>
            <w:r/>
            <w:r>
              <w:rPr>
                <w:rFonts w:ascii="Arial" w:hAnsi="Arial"/>
                <w:sz w:val="21"/>
              </w:rPr>
              <w:t>Literatür taraması, teknik rapor, kaynakça</w:t>
            </w:r>
          </w:p>
        </w:tc>
      </w:tr>
    </w:tbl>
    <w:p/>
    <w:p>
      <w:pPr>
        <w:spacing w:after="160"/>
        <w:jc w:val="both"/>
      </w:pPr>
      <w:r>
        <w:rPr>
          <w:rFonts w:ascii="Arial" w:hAnsi="Arial"/>
          <w:i/>
          <w:sz w:val="21"/>
        </w:rPr>
        <w:t>Not: Tablo, projede yürütülen disiplin bazlı katkı alanlarını göstermektedir; ekip büyüklüğü ve isimlendirme yarışma kayıt sistemindeki resmi bilgilerle tutarlıdır.</w:t>
      </w:r>
    </w:p>
    <w:p>
      <w:r>
        <w:br w:type="page"/>
      </w:r>
    </w:p>
    <w:p>
      <w:pPr>
        <w:pStyle w:val="Heading1"/>
      </w:pPr>
      <w:r>
        <w:t>KAYNAKÇA</w:t>
      </w:r>
    </w:p>
    <w:p>
      <w:pPr>
        <w:spacing w:after="120" w:line="276" w:lineRule="auto"/>
      </w:pPr>
      <w:r>
        <w:t>[1] Investigating Best Practices for Ecological Momentary Assessment, JMIR, 26:e50275, 2024. Erişim: https://www.jmir.org/2024/1/e50275</w:t>
      </w:r>
    </w:p>
    <w:p>
      <w:pPr>
        <w:spacing w:after="120" w:line="276" w:lineRule="auto"/>
      </w:pPr>
      <w:r>
        <w:t>[2] Measuring Criterion Validity of Microinteraction Ecological Momentary Assessment (Micro-EMA), PMC7991987. Erişim: https://www.ncbi.nlm.nih.gov/pmc/articles/PMC7991987/</w:t>
      </w:r>
    </w:p>
    <w:p>
      <w:pPr>
        <w:spacing w:after="120" w:line="276" w:lineRule="auto"/>
      </w:pPr>
      <w:r>
        <w:t>[3] Modeling Behaviour to Predict User State: Self-Reports as Ground Truth, arXiv:2007.14461. Erişim: https://arxiv.org/pdf/2007.14461</w:t>
      </w:r>
    </w:p>
    <w:p>
      <w:pPr>
        <w:spacing w:after="120" w:line="276" w:lineRule="auto"/>
      </w:pPr>
      <w:r>
        <w:t>[4] Are active and passive social media use related to mental health, wellbeing, and social support outcomes? A meta-analysis, Journal of Computer-Mediated Communication, 29(1), zmad055, 2024. Erişim: https://academic.oup.com/jcmc/article/29/1/zmad055/7595758</w:t>
      </w:r>
    </w:p>
    <w:p>
      <w:pPr>
        <w:spacing w:after="120" w:line="276" w:lineRule="auto"/>
      </w:pPr>
      <w:r>
        <w:t>[5] Beyond the Scroll: Intolerance of Uncertainty and Doomscrolling, ScienceDirect, 2024. Erişim: https://www.sciencedirect.com/science/article/abs/pii/S0191886924003799</w:t>
      </w:r>
    </w:p>
    <w:p>
      <w:pPr>
        <w:spacing w:after="120" w:line="276" w:lineRule="auto"/>
      </w:pPr>
      <w:r>
        <w:t>[6] Passive Sensing for Mental Health Monitoring Using Machine Learning with Wearables and Smartphones: A Scoping Review, JMIR, 2025. Erişim: https://www.jmir.org/2025/1/e77066</w:t>
      </w:r>
    </w:p>
    <w:p>
      <w:pPr>
        <w:spacing w:after="120" w:line="276" w:lineRule="auto"/>
      </w:pPr>
      <w:r>
        <w:t>[7] Challenging Social Media Threats using Collective Well-being Aware Recommendation Algorithms and Multi-objective Optimization, arXiv:2102.04211. Erişim: https://arxiv.org/pdf/2102.04211</w:t>
      </w:r>
    </w:p>
    <w:p>
      <w:pPr>
        <w:spacing w:after="120" w:line="276" w:lineRule="auto"/>
      </w:pPr>
      <w:r>
        <w:t>[8] Better Feeds: Algorithms That Put People First, Georgetown University Knight-Georgetown Institute, Mart 2025, Erişim Tarihi: 19.08.2026, Erişim: https://kgi.georgetown.edu/wp-content/uploads/2025/02/Better-Feeds_-Algorithms-That-Put-People-First.pdf</w:t>
      </w:r>
    </w:p>
    <w:p>
      <w:pPr>
        <w:spacing w:after="120" w:line="276" w:lineRule="auto"/>
      </w:pPr>
      <w:r>
        <w:t>[9] Explainable recommendation: when design meets trust calibration, World Wide Web (Springer), 2021. Erişim: https://link.springer.com/article/10.1007/s11280-021-00916-0</w:t>
      </w:r>
    </w:p>
    <w:p>
      <w:pPr>
        <w:spacing w:after="120" w:line="276" w:lineRule="auto"/>
      </w:pPr>
      <w:r>
        <w:t>[10] Robertson, C.E., Pröllochs, N., Schwarzenegger, K., Pärnamets, P., Van Bavel, J.J., Feuerriegel, S., (2023) Negativity drives online news consumption, Nature Human Behaviour, 7, 812-822. Erişim: https://www.nature.com/articles/s41562-023-01538-4</w:t>
      </w:r>
    </w:p>
    <w:p>
      <w:pPr>
        <w:spacing w:after="120" w:line="276" w:lineRule="auto"/>
      </w:pPr>
      <w:r>
        <w:t>[11] Negative online news articles are shared more to social media, Scientific Reports (Nature), 2024. Erişim: https://www.nature.com/articles/s41598-024-71263-z</w:t>
      </w:r>
    </w:p>
    <w:p>
      <w:pPr>
        <w:spacing w:after="120" w:line="276" w:lineRule="auto"/>
      </w:pPr>
      <w:r>
        <w:t>[12] Negativity Spreads More than Positivity on Twitter After Both Positive and Negative Political Situations, PMC9383030. Erişim: https://www.ncbi.nlm.nih.gov/pmc/articles/PMC9383030/</w:t>
      </w:r>
    </w:p>
    <w:p>
      <w:pPr>
        <w:spacing w:after="120" w:line="276" w:lineRule="auto"/>
      </w:pPr>
      <w:r>
        <w:t>[13] The Facebook Files, The Wall Street Journal, 2021, Erişim Tarihi: 19.08.2026, Erişim: https://www.wsj.com/articles/the-facebook-files-11631713039</w:t>
      </w:r>
    </w:p>
    <w:p>
      <w:pPr>
        <w:spacing w:after="120" w:line="276" w:lineRule="auto"/>
      </w:pPr>
      <w:r>
        <w:t>[14] Confidential Facebook document reveals leverage over vulnerable teens, The Australian, 2017 (haber kaynağı; ABD Kongresi'ne sunulan iç belgelerle ilişkilendirilmiştir).</w:t>
      </w:r>
    </w:p>
    <w:p>
      <w:pPr>
        <w:spacing w:after="120" w:line="276" w:lineRule="auto"/>
      </w:pPr>
      <w:r>
        <w:t>[15] savasy/bert-base-turkish-sentiment-cased, HuggingFace model kartı, Erişim Tarihi: 19.08.2026, Erişim: https://huggingface.co/savasy/bert-base-turkish-sentiment-cased</w:t>
      </w:r>
    </w:p>
    <w:p>
      <w:pPr>
        <w:spacing w:after="120" w:line="276" w:lineRule="auto"/>
      </w:pPr>
      <w:r>
        <w:t>[16] winvoker/turkish-sentiment-analysis-dataset, HuggingFace veri seti, Erişim Tarihi: 19.08.2026, Erişim: https://huggingface.co/datasets/winvoker/turkish-sentiment-analysis-dataset</w:t>
      </w:r>
    </w:p>
    <w:p>
      <w:pPr>
        <w:spacing w:after="120" w:line="276" w:lineRule="auto"/>
      </w:pPr>
      <w:r>
        <w:t>[17] Instagram tests 'Take a Break' reminders on an opt-in basis, TechCrunch, 10.11.2021, Erişim Tarihi: 19.08.2026, Erişim: https://techcrunch.com/2021/11/10/instagram-tests-take-a-break-reminders-on-an-opt-in-basis</w:t>
      </w:r>
    </w:p>
    <w:p>
      <w:pPr>
        <w:spacing w:after="120" w:line="276" w:lineRule="auto"/>
      </w:pPr>
      <w:r>
        <w:t>[18] Helping users manage their screen time, TikTok Newsroom, 2022, Erişim Tarihi: 19.08.2026, Erişim: https://newsroom.tiktok.com/en-us/helping-users-manage-their-screen-time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line="276" w:lineRule="auto"/>
      <w:jc w:val="left"/>
      <w:outlineLvl w:val="0"/>
    </w:pPr>
    <w:rPr>
      <w:rFonts w:asciiTheme="majorHAnsi" w:eastAsiaTheme="majorEastAsia" w:hAnsiTheme="majorHAnsi" w:cstheme="majorBidi" w:ascii="Arial Black" w:hAnsi="Arial Black" w:cs="Arial Black"/>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