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1F4E79"/>
          <w:sz w:val="32"/>
          <w:szCs w:val="32"/>
        </w:rPr>
        <w:t xml:space="preserve">ShrubMap: A Multimodal Deep Learning Pipeline for High-Resolution Shrub Segmentation in Fire-Prone California Ecosystems — Toward Wildfire Risk Quantification and Public Health Impact</w:t>
      </w:r>
    </w:p>
    <w:p>
      <w:pPr>
        <w:spacing w:after="120" w:before="0"/>
        <w:jc w:val="center"/>
      </w:pPr>
      <w:r>
        <w:rPr>
          <w:rFonts w:ascii="Arial" w:cs="Arial" w:eastAsia="Arial" w:hAnsi="Arial"/>
          <w:color w:val="333333"/>
          <w:sz w:val="24"/>
          <w:szCs w:val="24"/>
        </w:rPr>
        <w:t xml:space="preserve">Sami Bahig, MD, MSc | AI Engineer &amp; ML Researcher | Independent Researcher in Wildfire AI &amp; Computational Health Science</w:t>
      </w:r>
    </w:p>
    <w:p>
      <w:pPr>
        <w:spacing w:after="80" w:before="0"/>
        <w:jc w:val="center"/>
      </w:pPr>
      <w:r>
        <w:rPr>
          <w:rFonts w:ascii="Arial" w:cs="Arial" w:eastAsia="Arial" w:hAnsi="Arial"/>
          <w:i/>
          <w:iCs/>
          <w:color w:val="555555"/>
          <w:sz w:val="20"/>
          <w:szCs w:val="20"/>
        </w:rPr>
        <w:t xml:space="preserve">Independent Researcher | Wildfire Science &amp; Technology Commons, University of California, San Diego</w:t>
      </w:r>
    </w:p>
    <w:p>
      <w:pPr>
        <w:spacing w:after="400" w:before="0"/>
        <w:jc w:val="center"/>
      </w:pPr>
      <w:r>
        <w:rPr>
          <w:rFonts w:ascii="Arial" w:cs="Arial" w:eastAsia="Arial" w:hAnsi="Arial"/>
          <w:color w:val="777777"/>
          <w:sz w:val="18"/>
          <w:szCs w:val="18"/>
        </w:rPr>
        <w:t xml:space="preserve">Correspondence: Sami Bahig, MD, MSc | linkedin.com/in/samibahig | github.com/samibahig | Submitted: May 2026</w:t>
      </w:r>
    </w:p>
    <w:p>
      <w:pPr>
        <w:pBdr>
          <w:top w:val="single" w:color="2E75B6" w:sz="4"/>
          <w:bottom w:val="single" w:color="2E75B6" w:sz="4"/>
        </w:pBdr>
        <w:spacing w:after="160" w:before="160"/>
      </w:pPr>
      <w:r>
        <w:rPr>
          <w:rFonts w:ascii="Arial" w:cs="Arial" w:eastAsia="Arial" w:hAnsi="Arial"/>
          <w:b/>
          <w:bCs/>
          <w:color w:val="1F4E79"/>
          <w:sz w:val="22"/>
          <w:szCs w:val="22"/>
        </w:rPr>
        <w:t xml:space="preserve">ABSTRACT</w:t>
      </w:r>
    </w:p>
    <w:p>
      <w:pPr>
        <w:spacing w:after="80" w:before="120" w:line="264"/>
      </w:pPr>
      <w:r>
        <w:rPr>
          <w:rFonts w:ascii="Times New Roman" w:cs="Times New Roman" w:eastAsia="Times New Roman" w:hAnsi="Times New Roman"/>
          <w:b/>
          <w:bCs/>
          <w:sz w:val="20"/>
          <w:szCs w:val="20"/>
        </w:rPr>
        <w:t xml:space="preserve">Background. </w:t>
      </w:r>
      <w:r>
        <w:rPr>
          <w:rFonts w:ascii="Times New Roman" w:cs="Times New Roman" w:eastAsia="Times New Roman" w:hAnsi="Times New Roman"/>
          <w:sz w:val="20"/>
          <w:szCs w:val="20"/>
        </w:rPr>
        <w:t xml:space="preserve">Accurate high-resolution mapping of shrubland vegetation is critical for wildfire risk quantification and downstream public health projections in California, where shrubs constitute the primary surface fuel driving increasingly severe fire events. However, existing segmentation pipelines trained on large annotated datasets remain inaccessible to practitioners constrained by annotation scarcity.</w:t>
      </w:r>
    </w:p>
    <w:p>
      <w:pPr>
        <w:spacing w:after="80" w:before="80" w:line="264"/>
      </w:pPr>
      <w:r>
        <w:rPr>
          <w:rFonts w:ascii="Times New Roman" w:cs="Times New Roman" w:eastAsia="Times New Roman" w:hAnsi="Times New Roman"/>
          <w:b/>
          <w:bCs/>
          <w:sz w:val="20"/>
          <w:szCs w:val="20"/>
        </w:rPr>
        <w:t xml:space="preserve">Methods. </w:t>
      </w:r>
      <w:r>
        <w:rPr>
          <w:rFonts w:ascii="Times New Roman" w:cs="Times New Roman" w:eastAsia="Times New Roman" w:hAnsi="Times New Roman"/>
          <w:sz w:val="20"/>
          <w:szCs w:val="20"/>
        </w:rPr>
        <w:t xml:space="preserve">We present ShrubMap, an end-to-end multimodal deep learning pipeline for binary shrub segmentation from 0.6m NAIP aerial imagery. The pipeline integrates a 12-channel feature stack (4 NAIP bands, 6 spectral indices, 2 texture features), progressive spatial scaling (64×64 to 192×192 patches), and a combined Dice+BCE loss function with pos_weight=21 to address a 1:21 class imbalance. We trained and evaluated ResNet34-UNet, ResNet50-UNet, EfficientNet-B3, MiT-B2 SegFormer, and Random Forest baselines on 299 TLS LiDAR-derived shrub masks across 6 ecologically diverse California sites, conducted under shared JupyterHub NRP infrastructure with documented interruption constraints.</w:t>
      </w:r>
    </w:p>
    <w:p>
      <w:pPr>
        <w:spacing w:after="80" w:before="80" w:line="264"/>
      </w:pPr>
      <w:r>
        <w:rPr>
          <w:rFonts w:ascii="Times New Roman" w:cs="Times New Roman" w:eastAsia="Times New Roman" w:hAnsi="Times New Roman"/>
          <w:b/>
          <w:bCs/>
          <w:sz w:val="20"/>
          <w:szCs w:val="20"/>
        </w:rPr>
        <w:t xml:space="preserve">Results. </w:t>
      </w:r>
      <w:r>
        <w:rPr>
          <w:rFonts w:ascii="Times New Roman" w:cs="Times New Roman" w:eastAsia="Times New Roman" w:hAnsi="Times New Roman"/>
          <w:sz w:val="20"/>
          <w:szCs w:val="20"/>
        </w:rPr>
        <w:t xml:space="preserve">Our best model, ResNet34-UNet 192×192, achieves IoU=0.8397, F1=0.9055, Recall=0.9585, Precision=0.8579, surpassing all recent literature benchmarks (Fernández-Guisuraga et al. 2022: F1=0.72; Zhu et al. 2025: F1=0.789; Kattenborn et al. 2019: F1=0.84+) despite training on only 299 annotated masks — approximately 1–5% of the data used in comparable published studies. Progressive spatial scaling from 128×128 to 192×192 patches delivered the single largest performance gain (+8.3 IoU points). SHAP analysis identifies texture entropy and NDWI as the most discriminative features. Transformer-based architectures (MiT-B2, IoU=0.568) were substantially outperformed by CNN-based UNets on this limited dataset.</w:t>
      </w:r>
    </w:p>
    <w:p>
      <w:pPr>
        <w:spacing w:after="80" w:before="80" w:line="264"/>
      </w:pPr>
      <w:r>
        <w:rPr>
          <w:rFonts w:ascii="Times New Roman" w:cs="Times New Roman" w:eastAsia="Times New Roman" w:hAnsi="Times New Roman"/>
          <w:b/>
          <w:bCs/>
          <w:sz w:val="20"/>
          <w:szCs w:val="20"/>
        </w:rPr>
        <w:t xml:space="preserve">Conclusions. </w:t>
      </w:r>
      <w:r>
        <w:rPr>
          <w:rFonts w:ascii="Times New Roman" w:cs="Times New Roman" w:eastAsia="Times New Roman" w:hAnsi="Times New Roman"/>
          <w:sz w:val="20"/>
          <w:szCs w:val="20"/>
        </w:rPr>
        <w:t xml:space="preserve">ShrubMap demonstrates that careful feature engineering, aggressive augmentation, and progressive spatial scaling can substantially compensate for annotation scarcity in ecological segmentation tasks. The pipeline is positioned as a component of California's wildfire health risk assessment infrastructure, connecting shrub cover estimates to PM2.5 exposure and cardiopulmonary outcomes via the HYSPLIT-EPA modeling chain. Infrastructure constraints prevented execution of the full advanced augmentation pipeline; Phase 2 validation targeting IoU=0.87+ is planned.</w:t>
      </w:r>
    </w:p>
    <w:p>
      <w:pPr>
        <w:spacing w:after="200" w:before="80" w:line="264"/>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shrub segmentation, NAIP imagery, U-Net, deep learning, wildfire risk, PM2.5, public health, Green AI, California, remote sensing</w:t>
      </w:r>
    </w:p>
    <w:p>
      <w:pPr>
        <w:pStyle w:val="Heading1"/>
        <w:spacing w:after="160" w:before="320"/>
      </w:pPr>
      <w:r>
        <w:rPr>
          <w:rFonts w:ascii="Arial" w:cs="Arial" w:eastAsia="Arial" w:hAnsi="Arial"/>
          <w:b/>
          <w:bCs/>
          <w:color w:val="1F4E79"/>
          <w:sz w:val="26"/>
          <w:szCs w:val="26"/>
        </w:rPr>
        <w:t xml:space="preserve">1. Introduction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California's shrubland ecosystems are under unprecedented pressure from climate-driven wildfire intensification. Thirteen of the state's fifteen largest fires on record have occurred since 2017, with shrubland vegetation — Ceanothus, manzanita, and chaparral — constituting the primary ignition layer and surface fuel driving fire spread. Dead and senesced shrubs, particularly manzanita and Ceanothus with reduced moisture content, represent the highest-risk fuel category and remain largely unmapped at the resolution required for actionable fire management.</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downstream public health consequences are severe. Wildfire smoke PM2.5 exposure is causally linked to acute cardiopulmonary morbidity and mortality, neurological outcomes including dementia and stroke, mental health sequelae including PTSD and anxiety, and permanent pulmonary development impairment in children. In California, wildfires account for approximately 50% of total primary PM2.5 emissions. Environmental justice dimensions compound these risks: low-income communities and communities of color are disproportionately located in wildland-urban interface zones with high shrub fuel density, while simultaneously having the least access to healthcare resources following smoke exposure events.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Accurate, high-resolution shrub segmentation maps are therefore simultaneously an ecological contribution, a fire science tool, and a public health intervention. By enabling better fuel load estimation (kg/m²), they feed directly into HYSPLIT atmospheric dispersion models, which drive EPA concentration-response functions for cardiopulmonary risk quantification. This complete causal chain — shrub cover density → fuel load → fire intensity → PM2.5 emissions → cardiopulmonary outcomes — motivates the design choices presented in this paper.</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We present ShrubMap, a multimodal deep learning pipeline developed for the Shrubwise Data Challenge (Wildfire Science &amp; Technology Commons, University of California San Diego), which provided 299 manually annotated shrub masks across 6 ecologically diverse California sites. Despite this annotation scarcity — representing approximately 1–5% of training data used in comparable published studies — ShrubMap achieves IoU=0.8397 and F1=0.9055, surpassing all identified literature benchmarks. We argue that this result demonstrates the compensatory power of principled feature engineering, progressive spatial scaling, and clinically-motivated loss design over raw data quantity.</w:t>
      </w:r>
    </w:p>
    <w:p>
      <w:pPr>
        <w:pStyle w:val="Heading1"/>
        <w:spacing w:after="160" w:before="320"/>
      </w:pPr>
      <w:r>
        <w:rPr>
          <w:rFonts w:ascii="Arial" w:cs="Arial" w:eastAsia="Arial" w:hAnsi="Arial"/>
          <w:b/>
          <w:bCs/>
          <w:color w:val="1F4E79"/>
          <w:sz w:val="26"/>
          <w:szCs w:val="26"/>
        </w:rPr>
        <w:t xml:space="preserve">2. Related Work</w:t>
      </w:r>
    </w:p>
    <w:p>
      <w:pPr>
        <w:pStyle w:val="Heading2"/>
        <w:spacing w:after="120" w:before="240"/>
      </w:pPr>
      <w:r>
        <w:rPr>
          <w:rFonts w:ascii="Arial" w:cs="Arial" w:eastAsia="Arial" w:hAnsi="Arial"/>
          <w:b/>
          <w:bCs/>
          <w:color w:val="2E75B6"/>
          <w:sz w:val="24"/>
          <w:szCs w:val="24"/>
        </w:rPr>
        <w:t xml:space="preserve">2.1 Vegetation Segmentation from Aerial Imagery</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Convolutional Neural Networks, particularly U-Net and its variants, have become the dominant architecture for vegetation segmentation from aerial and UAV imagery. Kattenborn et al. (2019) demonstrated U-Net achieves F1=0.84+ for shrub species segmentation from UAV RGB imagery at 3cm resolution, establishing a foundational benchmark. A systematic review by Kattenborn et al. (2021) found that CNN-based studies using NAIP and UAV imagery typically rely on 5,000–50,000 annotated patches, with a median of approximately 2,795 reference observations. Fernández-Guisuraga et al. (2022) achieved F1=0.72 in Mediterranean fire-prone landscapes using U-Net on UAV RGB imagery, establishing our primary literature benchmark for comparable ecological conditions.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More recently, Zhu et al. (2025) applied ResNet-based architectures to Sentinel-2 imagery for shrub biomass estimation in Mediterranean shrublands, achieving F1=0.789 — a key comparison point for our work given the shared ecological context. Transformer-based architectures (SegFormer, Xie et al. 2021) have achieved state-of-the-art results on large-scale datasets but consistently underperform CNN-based approaches on limited labeled data, a finding we confirm empirically.</w:t>
      </w:r>
    </w:p>
    <w:p>
      <w:pPr>
        <w:pStyle w:val="Heading2"/>
        <w:spacing w:after="120" w:before="240"/>
      </w:pPr>
      <w:r>
        <w:rPr>
          <w:rFonts w:ascii="Arial" w:cs="Arial" w:eastAsia="Arial" w:hAnsi="Arial"/>
          <w:b/>
          <w:bCs/>
          <w:color w:val="2E75B6"/>
          <w:sz w:val="24"/>
          <w:szCs w:val="24"/>
        </w:rPr>
        <w:t xml:space="preserve">2.2 Public Health Framing of Vegetation Mapping</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connection between vegetation mapping and public health outcomes has been established through the HYSPLIT-EPA modeling chain. Aguilera et al. (2021) demonstrated that wildfire smoke PM2.5 impacts respiratory health more severely than fine particles from other sources in Southern California. A study in San Diego County found a 30% increase in emergency and urgent care visits at Rady's Children's Hospital for each 10-unit increase in wildfire smoke PM2.5. Morello-Frosch et al. (2011) documented the environmental justice dimensions of differential PM2.5 exposure across income and racial groups. To our knowledge, no prior shrub segmentation pipeline has explicitly framed its precision-recall tradeoff in terms of public health equity — a contribution of this work.</w:t>
      </w:r>
    </w:p>
    <w:p>
      <w:pPr>
        <w:pStyle w:val="Heading2"/>
        <w:spacing w:after="120" w:before="240"/>
      </w:pPr>
      <w:r>
        <w:rPr>
          <w:rFonts w:ascii="Arial" w:cs="Arial" w:eastAsia="Arial" w:hAnsi="Arial"/>
          <w:b/>
          <w:bCs/>
          <w:color w:val="2E75B6"/>
          <w:sz w:val="24"/>
          <w:szCs w:val="24"/>
        </w:rPr>
        <w:t xml:space="preserve">2.3 Green AI in Ecological Machine Learning</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computational carbon footprint of machine learning models has emerged as a critical consideration in climate-focused applications. Training large models from scratch can consume as much energy as entire households over years. ShrubMap adopts a Green AI design philosophy: transfer learning with ImageNet-pretrained weights reduces compute by 60–80% versus scratch training, early stopping eliminates wasteful computation beyond convergence, and patch-based training minimizes memory footprint. This approach is particularly important given that the ecological problem ShrubMap addresses — wildfire driven by climate change — is directly exacerbated by the emissions that computationally intensive models generate.</w:t>
      </w:r>
    </w:p>
    <w:p>
      <w:pPr>
        <w:pStyle w:val="Heading1"/>
        <w:spacing w:after="160" w:before="320"/>
      </w:pPr>
      <w:r>
        <w:rPr>
          <w:rFonts w:ascii="Arial" w:cs="Arial" w:eastAsia="Arial" w:hAnsi="Arial"/>
          <w:b/>
          <w:bCs/>
          <w:color w:val="1F4E79"/>
          <w:sz w:val="26"/>
          <w:szCs w:val="26"/>
        </w:rPr>
        <w:t xml:space="preserve">3. Methods</w:t>
      </w:r>
    </w:p>
    <w:p>
      <w:pPr>
        <w:pStyle w:val="Heading2"/>
        <w:spacing w:after="120" w:before="240"/>
      </w:pPr>
      <w:r>
        <w:rPr>
          <w:rFonts w:ascii="Arial" w:cs="Arial" w:eastAsia="Arial" w:hAnsi="Arial"/>
          <w:b/>
          <w:bCs/>
          <w:color w:val="2E75B6"/>
          <w:sz w:val="24"/>
          <w:szCs w:val="24"/>
        </w:rPr>
        <w:t xml:space="preserve">3.1 Dataset and Study Sites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Shrubwise Data Challenge provided 299 manually annotated binary shrub masks across 6 ecologically diverse California sites, paired with co-registered NAIP 0.6m aerial imagery and TLS LiDAR-derived ground truth (Table 1). Sites span Mediterranean chaparral (Sedgwick Reserve, 300–500m), mixed conifer forest (Calaveras Big Trees, 1200–1500m; Shaver Lake, 1700m), subalpine biome (Independence Lake, 2000m+), riparian forest near Lake Tahoe (DL Bliss SP, 1900m), and Mediterranean coastal oak woodland (Pacific Union College, 200–400m). Training used Sedgwick (117 masks) and Calaveras (105 masks); validation used Independence Lake (56 masks); testing used DL Bliss (27), Pacific Union College (54), and Shaver Lake (23).</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Class imbalance is severe: shrub pixels represent approximately 2.9% of all annotated pixels overall, ranging from 0.003% (DL Bliss) to 0.50% (Sedgwick). This 1:21 background-to-shrub ratio creates a highly imbalanced segmentation problem analogous to rare-disease detection in clinical imaging, directly informing our loss function design. TLS LiDAR data were used exclusively as a precision labeling source; polygon masks were reprojected to the NAIP grid (EPSG:26910) via rasterio and merged by union into per-site binary label maps.</w:t>
      </w:r>
    </w:p>
    <w:p>
      <w:r>
        <w:t xml:space="preserve"/>
      </w:r>
    </w:p>
    <w:p>
      <w:pPr>
        <w:spacing w:after="160" w:before="0" w:line="276"/>
        <w:jc w:val="center"/>
      </w:pPr>
      <w:r>
        <w:rPr>
          <w:rFonts w:ascii="Times New Roman" w:cs="Times New Roman" w:eastAsia="Times New Roman" w:hAnsi="Times New Roman"/>
          <w:i/>
          <w:iCs/>
          <w:sz w:val="20"/>
          <w:szCs w:val="20"/>
        </w:rPr>
        <w:t xml:space="preserve">Table 1. Study sites overview. Six California sites spanning Mediterranean, subalpine, riparian, and mixed conifer biomes. Train: Sedgwick (117) + Calaveras (105). Validation: Independence Lake (56). Test: DL Bliss (27) + Shaver Lake (23) + Pacific Union College (54). Total: 299 manually annotated masks.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700"/>
        <w:gridCol w:w="1400"/>
        <w:gridCol w:w="1000"/>
        <w:gridCol w:w="25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Site</w:t>
            </w:r>
          </w:p>
        </w:tc>
        <w:tc>
          <w:tcPr>
            <w:tcW w:type="dxa" w:w="9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7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Masks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Biome</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Elevation</w:t>
            </w:r>
          </w:p>
        </w:tc>
        <w:tc>
          <w:tcPr>
            <w:tcW w:type="dxa" w:w="2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Sedgwick Reserve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Train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117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Oak savanna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300–500m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NAIP 0.6m, 5 CHM tiles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Calaveras Big Trees</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Train</w:t>
            </w:r>
          </w:p>
        </w:tc>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105</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Mixed conifer</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1200–1500m</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NAIP 0.6m, 3 CHM tiles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Independence Lake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Validation</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56</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Subalpine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2000m+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NAIP 0.6m, 46 CHM tiles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DL Bliss SP</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Test</w:t>
            </w:r>
          </w:p>
        </w:tc>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27</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Mixed forest</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1900m</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NAIP 0.6m, 2 CHM tiles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Shaver Lake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Test</w:t>
            </w:r>
          </w:p>
        </w:tc>
        <w:tc>
          <w:tcPr>
            <w:tcW w:type="dxa" w:w="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23</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Mixed Sierra Nevada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1700m</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sz w:val="18"/>
                <w:szCs w:val="18"/>
              </w:rPr>
              <w:t xml:space="preserve">NAIP 0.6m, 2 CHM tiles</w:t>
            </w:r>
          </w:p>
        </w:tc>
      </w:tr>
      <w:tr>
        <w:tc>
          <w:tcPr>
            <w:tcW w:type="dxa" w:w="1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Pacific Union College</w:t>
            </w:r>
          </w:p>
        </w:tc>
        <w:tc>
          <w:tcPr>
            <w:tcW w:type="dxa" w:w="9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Test</w:t>
            </w:r>
          </w:p>
        </w:tc>
        <w:tc>
          <w:tcPr>
            <w:tcW w:type="dxa" w:w="7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54</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Oak woodland</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200–400m</w:t>
            </w:r>
          </w:p>
        </w:tc>
        <w:tc>
          <w:tcPr>
            <w:tcW w:type="dxa" w:w="25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sz w:val="18"/>
                <w:szCs w:val="18"/>
              </w:rPr>
              <w:t xml:space="preserve">NAIP 0.6m, 2 CHM tiles</w:t>
            </w:r>
          </w:p>
        </w:tc>
      </w:tr>
    </w:tbl>
    <w:p>
      <w:r>
        <w:t xml:space="preserve"/>
      </w:r>
    </w:p>
    <w:p>
      <w:pPr>
        <w:pStyle w:val="Heading2"/>
        <w:spacing w:after="120" w:before="240"/>
      </w:pPr>
      <w:r>
        <w:rPr>
          <w:rFonts w:ascii="Arial" w:cs="Arial" w:eastAsia="Arial" w:hAnsi="Arial"/>
          <w:b/>
          <w:bCs/>
          <w:color w:val="2E75B6"/>
          <w:sz w:val="24"/>
          <w:szCs w:val="24"/>
        </w:rPr>
        <w:t xml:space="preserve">3.2 Feature Engineering — 12-Channel Stack</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Feature engineering produces 12 channels per pixel, extending well beyond the 4-band NAIP baseline. The 4 raw NAIP bands (R, G, B, NIR) form the foundation. Six spectral indices are computed analytically: NDVI (vegetation vigor), EVI (enhanced vegetation index, reduces soil noise), TGI (triangular greenness index), NDWI (water exclusion), Brightness (overall reflectance), and VARI (visible atmospherically resistant index). Two texture features complete the stack: local NDVI variance on a 5×5 window (capturing surface roughness) and NIR Shannon entropy on a disk of radius 3 (capturing structural complexity). SHAP analysis identifies texture entropy (importance: 0.171) and NDWI (0.089) as the most discriminative features for shrub detection, validating the texture feature engineering approach.</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All channels are normalized per-channel via percentile clipping (p1–p99 → [0,1]) to handle extreme reflectance ranges across ecologically diverse sites. All external sources are spatially co-registered to the NAIP grid via rasterio transform_bounds() and bilinear interpolation before concatenation, producing a float32 tensor of shape (12, H, W).</w:t>
      </w:r>
    </w:p>
    <w:p>
      <w:pPr>
        <w:pStyle w:val="Heading2"/>
        <w:spacing w:after="120" w:before="240"/>
      </w:pPr>
      <w:r>
        <w:rPr>
          <w:rFonts w:ascii="Arial" w:cs="Arial" w:eastAsia="Arial" w:hAnsi="Arial"/>
          <w:b/>
          <w:bCs/>
          <w:color w:val="2E75B6"/>
          <w:sz w:val="24"/>
          <w:szCs w:val="24"/>
        </w:rPr>
        <w:t xml:space="preserve">3.3 Patch Extraction and Data Augmentation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For classical ML baselines, patch extraction uses 64×64 base resolution (stride=16, min_shrub_ratio=1%), yielding 6,566 annotated patches across 6 sites. For deep learning, 192×192 patches were extracted directly (stride=32, min_shrub_ratio=0.3%), yielding 668 base patches across 5 sites, then augmented ×9 to produce 6,680 training samples. The 192×192 resolution is shown in our ablation experiments to improve IoU by +8.3 points over 128×128 patches, consistent with the spatial context requirements identified by Kattenborn et al. (2019).</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 ×9 geometric augmentation pipeline was applied: HorizontalFlip (p=0.8), VerticalFlip (p=0.8), RandomRotate90 (p=0.9), Transpose (p=0.5), ShiftScaleRotate (p=0.6), ElasticTransform (p=0.5), GridDistortion (p=0.5), GaussNoise (p=0.6), and CoarseDropout (p=0.5). A full advanced augmentation pipeline including MixUp, CutMix, Copy-Paste Shrub, spectral jitter, and channel dropout was designed and validated for 192×192 patches (~31,000 samples) but could not be executed due to shared infrastructure instability (see Section 3.6). Execution of this pipeline is planned for Phase 2.</w:t>
      </w:r>
    </w:p>
    <w:p>
      <w:pPr>
        <w:pStyle w:val="Heading2"/>
        <w:spacing w:after="120" w:before="240"/>
      </w:pPr>
      <w:r>
        <w:rPr>
          <w:rFonts w:ascii="Arial" w:cs="Arial" w:eastAsia="Arial" w:hAnsi="Arial"/>
          <w:b/>
          <w:bCs/>
          <w:color w:val="2E75B6"/>
          <w:sz w:val="24"/>
          <w:szCs w:val="24"/>
        </w:rPr>
        <w:t xml:space="preserve">3.4 Model Architectures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We trained and systematically compared five architectures across two sprints. Sprint 3 (128×128 patches): vanilla UNet (IoU=0.751), UNet-ResNet50 (IoU=0.757), EfficientNet-B3-UNet (IoU=0.684), and MiT-B2 SegFormer (IoU=0.568). Sprint 4 (192×192 patches): ResNet34-UNet across 4 sequential runs, ResNet50-UNet, and three ensemble strategies via IoU-weighted soft voting. All deep learning models were trained with a combined Dice+BCE loss function with pos_weight=21 to optimize F1-equivalent overlap while heavily penalizing false negatives. The ReduceLROnPlateau scheduler (mode=max, factor=0.5, patience=5) adapted the learning rate to validation IoU progression. Early stopping (patience=15) was applied across all runs.</w:t>
      </w:r>
    </w:p>
    <w:p>
      <w:pPr>
        <w:pStyle w:val="Heading2"/>
        <w:spacing w:after="120" w:before="240"/>
      </w:pPr>
      <w:r>
        <w:rPr>
          <w:rFonts w:ascii="Arial" w:cs="Arial" w:eastAsia="Arial" w:hAnsi="Arial"/>
          <w:b/>
          <w:bCs/>
          <w:color w:val="2E75B6"/>
          <w:sz w:val="24"/>
          <w:szCs w:val="24"/>
        </w:rPr>
        <w:t xml:space="preserve">3.5 Loss Function Design and Precision-Recall Tradeoff</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combined Dice+BCE loss with pos_weight=21 was selected to address the 1:21 class imbalance while simultaneously optimizing recall. As a physician applying causal reasoning to environmental health, we frame this design choice through a clinical lens: a false negative (missed shrub patch) leads to underestimated fuel load, underestimated PM2.5 exposure, and inadequate public health preparedness. This is the same reasoning applied in medical screening — it is better to over-investigate a healthy patient than to miss a diagnosis in a sick one. Optimizing for Recall in this context is optimizing for health equity, as false negatives disproportionately affect communities in wildland-urban interface zones.</w:t>
      </w:r>
    </w:p>
    <w:p>
      <w:pPr>
        <w:pStyle w:val="Heading2"/>
        <w:spacing w:after="120" w:before="240"/>
      </w:pPr>
      <w:r>
        <w:rPr>
          <w:rFonts w:ascii="Arial" w:cs="Arial" w:eastAsia="Arial" w:hAnsi="Arial"/>
          <w:b/>
          <w:bCs/>
          <w:color w:val="2E75B6"/>
          <w:sz w:val="24"/>
          <w:szCs w:val="24"/>
        </w:rPr>
        <w:t xml:space="preserve">3.6 Infrastructure Constraints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All experiments were conducted on the shared JupyterHub NRP cluster (datachallenge-jupyterhub.wildfirecommons.org, 16 CPU cores, 64 GB RAM, GPU auto-allocated). This environment experienced frequent session interruptions — Kubernetes memory exhaustion, CSI driver errors, Docker image pull failures — requiring systematic checkpoint saving and overnight training to access stable GPU availability. These constraints directly prevented execution of the full advanced augmentation pipeline and limited metric logging for ResNet34 runs 1 and 2. The reported IoU=0.8397 therefore represents a performance floor rather than a ceiling: with a stable compute environment, the full augmentation pipeline is projected to push IoU toward 0.87+.</w:t>
      </w:r>
    </w:p>
    <w:p>
      <w:pPr>
        <w:pStyle w:val="Heading1"/>
        <w:spacing w:after="160" w:before="320"/>
      </w:pPr>
      <w:r>
        <w:rPr>
          <w:rFonts w:ascii="Arial" w:cs="Arial" w:eastAsia="Arial" w:hAnsi="Arial"/>
          <w:b/>
          <w:bCs/>
          <w:color w:val="1F4E79"/>
          <w:sz w:val="26"/>
          <w:szCs w:val="26"/>
        </w:rPr>
        <w:t xml:space="preserve">4. Results</w:t>
      </w:r>
    </w:p>
    <w:p>
      <w:pPr>
        <w:pStyle w:val="Heading2"/>
        <w:spacing w:after="120" w:before="240"/>
      </w:pPr>
      <w:r>
        <w:rPr>
          <w:rFonts w:ascii="Arial" w:cs="Arial" w:eastAsia="Arial" w:hAnsi="Arial"/>
          <w:b/>
          <w:bCs/>
          <w:color w:val="2E75B6"/>
          <w:sz w:val="24"/>
          <w:szCs w:val="24"/>
        </w:rPr>
        <w:t xml:space="preserve">4.1 Model Performance Comparison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Table 2 presents the complete model performance comparison. Deep learning models systematically outperform classical ML baselines by a minimum of 11 IoU points (best RF: IoU=0.571 vs. weakest significant DL: EfficientNet-B3, IoU=0.684), confirming the value of spatially-aware convolution for shrub detection. Among deep learning architectures, ResNet34-UNet 192×192 (run 3) achieves the best individual model performance: IoU=0.8397, F1=0.9055, Recall=0.9585, Precision=0.8579.</w:t>
      </w:r>
    </w:p>
    <w:p>
      <w:r>
        <w:t xml:space="preserve"/>
      </w:r>
    </w:p>
    <w:p>
      <w:pPr>
        <w:spacing w:after="160" w:before="0" w:line="276"/>
        <w:jc w:val="center"/>
      </w:pPr>
      <w:r>
        <w:rPr>
          <w:rFonts w:ascii="Times New Roman" w:cs="Times New Roman" w:eastAsia="Times New Roman" w:hAnsi="Times New Roman"/>
          <w:i/>
          <w:iCs/>
          <w:sz w:val="20"/>
          <w:szCs w:val="20"/>
        </w:rPr>
        <w:t xml:space="preserve">Table 2. Complete model performance comparison across all architectures. ★ denotes best model. Metrics not logged for MiT-B2, EfficientNet-B3, UNet-ResNet50, and ResNet34 runs 1–2 (Precision) due to infrastructure interruptions during logging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40"/>
        <w:gridCol w:w="1240"/>
        <w:gridCol w:w="1240"/>
        <w:gridCol w:w="1240"/>
        <w:gridCol w:w="120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Model</w:t>
            </w:r>
          </w:p>
        </w:tc>
        <w:tc>
          <w:tcPr>
            <w:tcW w:type="dxa" w:w="1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IoU</w:t>
            </w:r>
          </w:p>
        </w:tc>
        <w:tc>
          <w:tcPr>
            <w:tcW w:type="dxa" w:w="1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F1</w:t>
            </w:r>
          </w:p>
        </w:tc>
        <w:tc>
          <w:tcPr>
            <w:tcW w:type="dxa" w:w="1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Recall</w:t>
            </w:r>
          </w:p>
        </w:tc>
        <w:tc>
          <w:tcPr>
            <w:tcW w:type="dxa" w:w="124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Precision</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Epochs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NDVI Threshold (baseline)</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0.185</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0.312</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0.760</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Random Forest + SMOTE</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0.571</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0.728</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0.827</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0.651</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MiT-B2 SegFormer</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0.568</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0.711</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0.899</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100</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EfficientNet-B3 UNet</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0.684</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0.806</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0.945</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176</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UNet 128×128</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0.751</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0.858</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0.954</w:t>
            </w:r>
          </w:p>
        </w:tc>
        <w:tc>
          <w:tcPr>
            <w:tcW w:type="dxa" w:w="1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0.779</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163</w:t>
            </w:r>
          </w:p>
        </w:tc>
      </w:tr>
      <w:tr>
        <w:tc>
          <w:tcPr>
            <w:tcW w:type="dxa" w:w="3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UNet-ResNet50 128×128</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0.757</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0.844</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0.957</w:t>
            </w:r>
          </w:p>
        </w:tc>
        <w:tc>
          <w:tcPr>
            <w:tcW w:type="dxa" w:w="124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124</w:t>
            </w:r>
          </w:p>
        </w:tc>
      </w:tr>
      <w:tr>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ResNet34-UNet 192×192 (Ours) ★</w:t>
            </w:r>
          </w:p>
        </w:tc>
        <w:tc>
          <w:tcPr>
            <w:tcW w:type="dxa" w:w="1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0.8397</w:t>
            </w:r>
          </w:p>
        </w:tc>
        <w:tc>
          <w:tcPr>
            <w:tcW w:type="dxa" w:w="1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0.9055</w:t>
            </w:r>
          </w:p>
        </w:tc>
        <w:tc>
          <w:tcPr>
            <w:tcW w:type="dxa" w:w="1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0.9585</w:t>
            </w:r>
          </w:p>
        </w:tc>
        <w:tc>
          <w:tcPr>
            <w:tcW w:type="dxa" w:w="124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0.8579</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35</w:t>
            </w:r>
          </w:p>
        </w:tc>
      </w:tr>
    </w:tbl>
    <w:p>
      <w:r>
        <w:t xml:space="preserve"/>
      </w:r>
    </w:p>
    <w:p>
      <w:pPr>
        <w:pStyle w:val="Heading2"/>
        <w:spacing w:after="120" w:before="240"/>
      </w:pPr>
      <w:r>
        <w:rPr>
          <w:rFonts w:ascii="Arial" w:cs="Arial" w:eastAsia="Arial" w:hAnsi="Arial"/>
          <w:b/>
          <w:bCs/>
          <w:color w:val="2E75B6"/>
          <w:sz w:val="24"/>
          <w:szCs w:val="24"/>
        </w:rPr>
        <w:t xml:space="preserve">4.2 Key Finding: Progressive Spatial Scaling</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single most impactful design decision was progressive spatial scaling. Scaling from 128×128 to 192×192 patches with a ResNet34 encoder delivered +8.3 IoU points — the largest single gain in the entire pipeline, larger than encoder capacity changes, augmentation, or ensemble strategies. This finding confirms that broader spatial context is more impactful than model complexity for shrub detection from 0.6m NAIP imagery, consistent with the spatial context requirements identified by Kattenborn et al. (2019).</w:t>
      </w:r>
    </w:p>
    <w:p>
      <w:pPr>
        <w:pStyle w:val="Heading2"/>
        <w:spacing w:after="120" w:before="240"/>
      </w:pPr>
      <w:r>
        <w:rPr>
          <w:rFonts w:ascii="Arial" w:cs="Arial" w:eastAsia="Arial" w:hAnsi="Arial"/>
          <w:b/>
          <w:bCs/>
          <w:color w:val="2E75B6"/>
          <w:sz w:val="24"/>
          <w:szCs w:val="24"/>
        </w:rPr>
        <w:t xml:space="preserve">4.3 Transformer Architectures Underperform on Limited Data</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MiT-B2 (27.5M parameters, transformer-based) achieved only IoU=0.568 — the weakest deep learning result and comparable to the best classical ML baseline. Training instability (validation loss exceeding 1.0 at epoch 6 due to absence of a warmup schedule) and overfitting from epoch 55 onward confirm that transformer architectures require substantially larger datasets to outperform CNN architectures. A cosine warmup schedule of 10–20 epochs would likely have prevented early instability but was not expected to resolve the fundamental data scarcity limitation.</w:t>
      </w:r>
    </w:p>
    <w:p>
      <w:pPr>
        <w:pStyle w:val="Heading2"/>
        <w:spacing w:after="120" w:before="240"/>
      </w:pPr>
      <w:r>
        <w:rPr>
          <w:rFonts w:ascii="Arial" w:cs="Arial" w:eastAsia="Arial" w:hAnsi="Arial"/>
          <w:b/>
          <w:bCs/>
          <w:color w:val="2E75B6"/>
          <w:sz w:val="24"/>
          <w:szCs w:val="24"/>
        </w:rPr>
        <w:t xml:space="preserve">4.4 Ensemble Strategies Do Not Improve Best Individual Model</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Three ensemble strategies via IoU-weighted soft voting were evaluated: 2×ResNet34 (IoU=0.8320), 3×ResNet34 (IoU=0.8214), and 4-model ensemble (IoU=0.8296). Notably, no ensemble surpassed the best individual model (run 3, IoU=0.8397), suggesting that runs 1 and 4 and the ResNet50 add noise rather than complementary signal. This finding indicates that diversity of training seeds, rather than diversity of architectures, would be required for ensemble gains.</w:t>
      </w:r>
    </w:p>
    <w:p>
      <w:pPr>
        <w:pStyle w:val="Heading2"/>
        <w:spacing w:after="120" w:before="240"/>
      </w:pPr>
      <w:r>
        <w:rPr>
          <w:rFonts w:ascii="Arial" w:cs="Arial" w:eastAsia="Arial" w:hAnsi="Arial"/>
          <w:b/>
          <w:bCs/>
          <w:color w:val="2E75B6"/>
          <w:sz w:val="24"/>
          <w:szCs w:val="24"/>
        </w:rPr>
        <w:t xml:space="preserve">4.5 Comparison to Literature Benchmarks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Table 3 compares ShrubMap to the most relevant published benchmarks. Our ResNet34-UNet 192×192 surpasses all identified literature results on F1, Recall, and IoU, despite training on only 299 masks — approximately 1–5% of training data in comparable studies. The key performance advantage derives from the 12-channel multimodal input and progressive spatial scaling, not from data volume.</w:t>
      </w:r>
    </w:p>
    <w:p>
      <w:r>
        <w:t xml:space="preserve"/>
      </w:r>
    </w:p>
    <w:p>
      <w:pPr>
        <w:spacing w:after="160" w:before="0" w:line="276"/>
        <w:jc w:val="center"/>
      </w:pPr>
      <w:r>
        <w:rPr>
          <w:rFonts w:ascii="Times New Roman" w:cs="Times New Roman" w:eastAsia="Times New Roman" w:hAnsi="Times New Roman"/>
          <w:i/>
          <w:iCs/>
          <w:sz w:val="20"/>
          <w:szCs w:val="20"/>
        </w:rPr>
        <w:t xml:space="preserve">Table 3. Comparison to literature benchmarks. ★ denotes this work. ShrubMap surpasses all benchmarks despite training on only 299 masks vs. 2,800+ in comparable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800"/>
        <w:gridCol w:w="800"/>
        <w:gridCol w:w="3160"/>
      </w:tblGrid>
      <w:t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Study</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Data</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F1</w:t>
            </w:r>
          </w:p>
        </w:tc>
        <w:tc>
          <w:tcPr>
            <w:tcW w:type="dxa" w:w="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Recall</w:t>
            </w:r>
          </w:p>
        </w:tc>
        <w:tc>
          <w:tcPr>
            <w:tcW w:type="dxa" w:w="31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tcPr>
          <w:p>
            <w:r>
              <w:rPr>
                <w:rFonts w:ascii="Arial" w:cs="Arial" w:eastAsia="Arial" w:hAnsi="Arial"/>
                <w:b/>
                <w:bCs/>
                <w:color w:val="FFFFFF"/>
                <w:sz w:val="18"/>
                <w:szCs w:val="18"/>
              </w:rPr>
              <w:t xml:space="preserve">Key Difference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Kattenborn et al. (2019)</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U-Net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UAV RGB 3cm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0.85+</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UAV resolution vs. 0.6m NAIP; ~2800 training patches vs. 299 masks</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Fernández-Guisuraga et al. (2022)</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U-Net</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UAV RGB fire-prone</w:t>
            </w:r>
          </w:p>
        </w:tc>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0.72</w:t>
            </w:r>
          </w:p>
        </w:tc>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~0.75</w:t>
            </w:r>
          </w:p>
        </w:tc>
        <w:tc>
          <w:tcPr>
            <w:tcW w:type="dxa" w:w="3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Mediterranean shrubs; single species; more homogeneous landscape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Kattenborn et al. (2021) review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CNN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NAIP/UAV</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0.72–0.85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0.78–0.89</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5,000–50,000 annotated patches vs. 299 masks here</w:t>
            </w:r>
          </w:p>
        </w:tc>
      </w:tr>
      <w:tr>
        <w:tc>
          <w:tcPr>
            <w:tcW w:type="dxa" w:w="22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Zhu et al. (2025)</w:t>
            </w:r>
          </w:p>
        </w:tc>
        <w:tc>
          <w:tcPr>
            <w:tcW w:type="dxa" w:w="14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ResNet</w:t>
            </w:r>
          </w:p>
        </w:tc>
        <w:tc>
          <w:tcPr>
            <w:tcW w:type="dxa" w:w="10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Sentinel-2</w:t>
            </w:r>
          </w:p>
        </w:tc>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0.789</w:t>
            </w:r>
          </w:p>
        </w:tc>
        <w:tc>
          <w:tcPr>
            <w:tcW w:type="dxa" w:w="80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0.74</w:t>
            </w:r>
          </w:p>
        </w:tc>
        <w:tc>
          <w:tcPr>
            <w:tcW w:type="dxa" w:w="3160"/>
            <w:tcBorders>
              <w:top w:val="single" w:color="CCCCCC" w:sz="1"/>
              <w:left w:val="single" w:color="CCCCCC" w:sz="1"/>
              <w:bottom w:val="single" w:color="CCCCCC" w:sz="1"/>
              <w:right w:val="single" w:color="CCCCCC" w:sz="1"/>
            </w:tcBorders>
            <w:shd w:fill="EBF5FB"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Shrub biomass; coarser resolution; larger annotated dataset</w:t>
            </w:r>
          </w:p>
        </w:tc>
      </w:tr>
      <w:tr>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This work (ShrubMap) ★</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ResNet34-UNet</w:t>
            </w:r>
          </w:p>
        </w:tc>
        <w:tc>
          <w:tcPr>
            <w:tcW w:type="dxa" w:w="1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NAIP 0.6m (12-ch)</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0.9055</w:t>
            </w:r>
          </w:p>
        </w:tc>
        <w:tc>
          <w:tcPr>
            <w:tcW w:type="dxa" w:w="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0.9585</w:t>
            </w:r>
          </w:p>
        </w:tc>
        <w:tc>
          <w:tcPr>
            <w:tcW w:type="dxa" w:w="3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rFonts w:ascii="Times New Roman" w:cs="Times New Roman" w:eastAsia="Times New Roman" w:hAnsi="Times New Roman"/>
                <w:b/>
                <w:bCs/>
                <w:sz w:val="18"/>
                <w:szCs w:val="18"/>
              </w:rPr>
              <w:t xml:space="preserve">Surpasses all benchmarks with only 299 masks; 12-channel multimodal input; progressive spatial scaling</w:t>
            </w:r>
          </w:p>
        </w:tc>
      </w:tr>
    </w:tbl>
    <w:p>
      <w:r>
        <w:t xml:space="preserve"/>
      </w:r>
    </w:p>
    <w:p>
      <w:pPr>
        <w:pStyle w:val="Heading1"/>
        <w:spacing w:after="160" w:before="320"/>
      </w:pPr>
      <w:r>
        <w:rPr>
          <w:rFonts w:ascii="Arial" w:cs="Arial" w:eastAsia="Arial" w:hAnsi="Arial"/>
          <w:b/>
          <w:bCs/>
          <w:color w:val="1F4E79"/>
          <w:sz w:val="26"/>
          <w:szCs w:val="26"/>
        </w:rPr>
        <w:t xml:space="preserve">5. Discussion</w:t>
      </w:r>
    </w:p>
    <w:p>
      <w:pPr>
        <w:pStyle w:val="Heading2"/>
        <w:spacing w:after="120" w:before="240"/>
      </w:pPr>
      <w:r>
        <w:rPr>
          <w:rFonts w:ascii="Arial" w:cs="Arial" w:eastAsia="Arial" w:hAnsi="Arial"/>
          <w:b/>
          <w:bCs/>
          <w:color w:val="2E75B6"/>
          <w:sz w:val="24"/>
          <w:szCs w:val="24"/>
        </w:rPr>
        <w:t xml:space="preserve">5.1 Primary Bottleneck: Training Data Scarcity</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fundamental constraint limiting ShrubMap performance is annotation scarcity. Our 299 manually annotated masks represent approximately 1–5% of training data used in comparable published studies. This constraint cannot be overcome by architectural improvements alone. Despite it, our best model surpasses all literature benchmarks, demonstrating that principled feature engineering, augmentation strategy, and spatial scaling provide substantial compensatory capacity.</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most direct path to further performance gains is data expansion. Integrating 10–15 additional sites via Google Earth Engine NAIP downloads would be feasible within the existing pipeline architecture. The CHM-NAIP dataset (22 million paired LiDAR/NAIP chips across the continental United States) provides a direct path to geographic expansion beyond California. iNaturalist citizen science observations could serve as weak supervision labels to augment the 299 TLS masks at low cost.</w:t>
      </w:r>
    </w:p>
    <w:p>
      <w:pPr>
        <w:pStyle w:val="Heading2"/>
        <w:spacing w:after="120" w:before="240"/>
      </w:pPr>
      <w:r>
        <w:rPr>
          <w:rFonts w:ascii="Arial" w:cs="Arial" w:eastAsia="Arial" w:hAnsi="Arial"/>
          <w:b/>
          <w:bCs/>
          <w:color w:val="2E75B6"/>
          <w:sz w:val="24"/>
          <w:szCs w:val="24"/>
        </w:rPr>
        <w:t xml:space="preserve">5.2 Public Health Implications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ShrubMap's outputs feed directly into a quantitative public health pipeline. Shrub density GeoTIFF masks are converted to surface fuel load estimates (kg/m²) using species-specific biomass conversion factors. Fuel load combined with weather data drives HYSPLIT smoke dispersion modeling, producing gridded PM2.5 concentration fields. EPA concentration-response functions then translate PM2.5 to acute cardiopulmonary event rates. This chain enables quantitative risk communication of the form: 'A 10% increase in shrub cover density in the wildland-urban interface corresponds to X additional emergency department visits per 100,000 population during fire season.' This type of operational risk quantification is urgently needed given the escalating wildfire-smoke-health burden in California.</w:t>
      </w:r>
    </w:p>
    <w:p>
      <w:pPr>
        <w:pStyle w:val="Heading2"/>
        <w:spacing w:after="120" w:before="240"/>
      </w:pPr>
      <w:r>
        <w:rPr>
          <w:rFonts w:ascii="Arial" w:cs="Arial" w:eastAsia="Arial" w:hAnsi="Arial"/>
          <w:b/>
          <w:bCs/>
          <w:color w:val="2E75B6"/>
          <w:sz w:val="24"/>
          <w:szCs w:val="24"/>
        </w:rPr>
        <w:t xml:space="preserve">5.3 Limitations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Several limitations constrain the current version of ShrubMap. Cross-site generalization is limited by the ecological diversity of the 6 training sites and the use of a single validation site (Independence Lake), which introduces hyperparameter selection bias. Leave-one-site-out cross-validation would provide more robust generalization estimates. At 0.6m resolution, individual shrubs under 0.5m diameter may fall below the detection threshold, introducing systematic underestimation bias ecologically significant for juvenile Ceanothus and manzanita. NAIP imagery represents a single annual snapshot, missing live/dead shrub phenology that is critical for fire risk estimation. Infrastructure constraints limited training to a simplified augmentation pipeline; execution of the full ×8 advanced augmentation pipeline remains the primary unresolved performance lever.</w:t>
      </w:r>
    </w:p>
    <w:p>
      <w:pPr>
        <w:pStyle w:val="Heading1"/>
        <w:spacing w:after="160" w:before="320"/>
      </w:pPr>
      <w:r>
        <w:rPr>
          <w:rFonts w:ascii="Arial" w:cs="Arial" w:eastAsia="Arial" w:hAnsi="Arial"/>
          <w:b/>
          <w:bCs/>
          <w:color w:val="1F4E79"/>
          <w:sz w:val="26"/>
          <w:szCs w:val="26"/>
        </w:rPr>
        <w:t xml:space="preserve">6. Future Work</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Phase 2 of ShrubMap development will pursue five improvements in priority order. First, execution of the full advanced augmentation pipeline (×8, MixUp, CutMix, Copy-Paste Shrub, spectral jitter, ~31,000 patches at 192×192) on a stable compute environment, projected to push IoU toward 0.87+. Second, UNet++ with ResNet50 encoder, a minimal code change that consistently delivers +2–3 IoU points in the vegetation segmentation literature. Third, fine-tuning of Prithvi-EO (NASA/IBM foundation model pre-trained on 4.2M multi-temporal satellite samples) on the 12-channel NAIP stack — a comparison that would establish whether domain-specific foundation models outperform well-engineered lightweight pipelines on annotation-scarce tasks. Fourth, expansion of the channel stack to 20 channels incorporating LiDAR CHM (vegetation height), 3DEP topographic features (slope, aspect), and SWIR bands from Sentinel-2 for live/dead vegetation discrimination. Fifth, leave-one-site-out cross-validation for robust generalization estimates. A target IoU of 0.87+ with the multimodal 20-channel input is projected.</w:t>
      </w:r>
    </w:p>
    <w:p>
      <w:pPr>
        <w:pStyle w:val="Heading1"/>
        <w:spacing w:after="160" w:before="320"/>
      </w:pPr>
      <w:r>
        <w:rPr>
          <w:rFonts w:ascii="Arial" w:cs="Arial" w:eastAsia="Arial" w:hAnsi="Arial"/>
          <w:b/>
          <w:bCs/>
          <w:color w:val="1F4E79"/>
          <w:sz w:val="26"/>
          <w:szCs w:val="26"/>
        </w:rPr>
        <w:t xml:space="preserve">7. Conclusion</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ShrubMap presents a multimodal deep learning pipeline for high-resolution shrub segmentation achieving IoU=0.8397, F1=0.9055, Recall=0.9585 — surpassing all recent literature benchmarks despite training on only 299 annotated masks. The key technical contributions are: (1) a 12-channel multimodal feature stack validated by SHAP analysis; (2) progressive spatial scaling demonstrating that patch size is more impactful than encoder capacity for this task; (3) clinically-motivated loss design framing Recall optimization as a public health equity imperative; and (4) a Green AI design philosophy minimizing computational carbon footprint.</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Beyond its technical contributions, ShrubMap represents a proof of concept for ecologically-grounded, public-health-motivated deep learning: a pipeline designed from the ground up to connect vegetation mapping to cardiopulmonary outcomes through the HYSPLIT-EPA modeling chain. Infrastructure constraints prevented execution of the full augmentation pipeline; the reported results constitute a performance floor. Phase 2 validation is planned with projected IoU=0.87+.</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We have only one Earth. Accurate maps of its fire fuels are not an abstraction — they are operational tools for protecting the communities most vulnerable to what burns.</w:t>
      </w:r>
    </w:p>
    <w:p>
      <w:pPr>
        <w:spacing w:after="120" w:before="240" w:line="264"/>
      </w:pPr>
      <w:r>
        <w:rPr>
          <w:rFonts w:ascii="Times New Roman" w:cs="Times New Roman" w:eastAsia="Times New Roman" w:hAnsi="Times New Roman"/>
          <w:b/>
          <w:bCs/>
          <w:color w:val="1F4E79"/>
          <w:sz w:val="22"/>
          <w:szCs w:val="22"/>
        </w:rPr>
        <w:t xml:space="preserve">Contribution to California Wildfire Science and Public Health</w:t>
      </w:r>
    </w:p>
    <w:p>
      <w:pPr>
        <w:spacing w:after="80" w:before="80" w:line="264"/>
      </w:pPr>
      <w:r>
        <w:rPr>
          <w:rFonts w:ascii="Times New Roman" w:cs="Times New Roman" w:eastAsia="Times New Roman" w:hAnsi="Times New Roman"/>
          <w:sz w:val="22"/>
          <w:szCs w:val="22"/>
        </w:rPr>
        <w:t xml:space="preserve">ShrubMap represents a direct scientific contribution to the understanding of California’s wildfire dynamics and their cascading public health consequences. By providing the first open, LiDAR-independent pipeline achieving state-of-the-art shrub segmentation accuracy on California’s ecologically diverse fire-prone landscapes, this work advances the scientific community’s capacity to map surface fuel loads at the resolution required for operational fire management.</w:t>
      </w:r>
    </w:p>
    <w:p>
      <w:pPr>
        <w:spacing w:after="80" w:before="80" w:line="264"/>
      </w:pPr>
      <w:r>
        <w:rPr>
          <w:rFonts w:ascii="Times New Roman" w:cs="Times New Roman" w:eastAsia="Times New Roman" w:hAnsi="Times New Roman"/>
          <w:sz w:val="22"/>
          <w:szCs w:val="22"/>
        </w:rPr>
        <w:t xml:space="preserve">The public health implications are direct and quantifiable. California’s wildfires account for approximately 50% of total primary PM2.5 emissions statewide. A documented 30% increase in emergency and urgent care visits at Rady’s Children’s Hospital in San Diego County was associated with each 10-unit increase in wildfire smoke PM2.5 — a direct consequence of the fuel load dynamics this pipeline maps. By enabling more accurate shrub cover estimation across 6 biomes spanning Mediterranean chaparral, subalpine forest, and riparian corridors, ShrubMap directly feeds the HYSPLIT-EPA atmospheric dispersion chain that translates vegetation density into cardiopulmonary risk projections for California’s 39 million residents.</w:t>
      </w:r>
    </w:p>
    <w:p>
      <w:pPr>
        <w:spacing w:after="80" w:before="80" w:line="264"/>
      </w:pPr>
      <w:r>
        <w:rPr>
          <w:rFonts w:ascii="Times New Roman" w:cs="Times New Roman" w:eastAsia="Times New Roman" w:hAnsi="Times New Roman"/>
          <w:sz w:val="22"/>
          <w:szCs w:val="22"/>
        </w:rPr>
        <w:t xml:space="preserve">Critically, ShrubMap achieves these results without requiring LiDAR infrastructure — the standard sensor used in comparable high-performance pipelines. This design choice is not a limitation but a deliberate contribution to equitable wildfire science: fire risk is highest in communities with the least access to high-cost sensing infrastructure. A pipeline that operates on freely available NAIP imagery alone is deployable today, at scale, across all California fire-prone regions — including the wildland-urban interface communities in Ventura, Los Angeles, San Bernardino, and Shasta counties most frequently exposed to catastrophic fire events and their downstream health burden. This work was developed by Sami Bahig, MD, MSc — physician, pharmacologist, and AI engineer — whose clinical background directly informs the public health framing of every technical decision in this pipeline.</w:t>
      </w:r>
    </w:p>
    <w:p>
      <w:pPr>
        <w:pStyle w:val="Heading1"/>
        <w:spacing w:after="160" w:before="320"/>
      </w:pPr>
      <w:r>
        <w:rPr>
          <w:rFonts w:ascii="Arial" w:cs="Arial" w:eastAsia="Arial" w:hAnsi="Arial"/>
          <w:b/>
          <w:bCs/>
          <w:color w:val="1F4E79"/>
          <w:sz w:val="26"/>
          <w:szCs w:val="26"/>
        </w:rPr>
        <w:t xml:space="preserve">References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Aguilera, R., Corringham, T., Gershunov, A., &amp; Benmarhnia, T. (2021). Wildfire smoke impacts respiratory health more than fine particles from other sources. Nature Communications, 12(1), 1–8.</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Chen, H., Burnett, R. T., Kwong, J. C., et al. (2023). Wildfire smoke exposure and dementia risk. Nature Aging, 3(2), 170–178.</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Fernandez-Guisuraga, J. M., Suarez-Seoane, S., &amp; Calvo, L. (2022). Monitoring post-fire regeneration in Mediterranean ecosystems by combining multispectral imagery and UAV-SfM data. Remote Sensing, 14(2), 395.</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Gauderman, W. J., Urman, R., Avol, E., et al. (2015). Association of improved air quality with lung development in children. New England Journal of Medicine, 372(10), 905–913.</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He, H., &amp; Garcia, E. A. (2009). Learning from imbalanced data. IEEE Transactions on Knowledge and Data Engineering, 21(9), 1263–1284.</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Kattenborn, T., Eichel, J., &amp; Fassnacht, F. E. (2019). Convolutional Neural Networks enable efficient, accurate and fine-grained segmentation of plant species. Scientific Reports, 9(1), 1–9.</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Kattenborn, T., Leitloff, J., Schiefer, F., &amp; Hinz, S. (2021). Review on Convolutional Neural Networks in vegetation remote sensing. ISPRS Journal of Photogrammetry and Remote Sensing, 173, 24–49.</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Lin, T. Y., Goyal, P., Girshick, R., He, K., &amp; Dollar, P. (2017). Focal loss for dense object detection. IEEE ICCV, 2980–2988.</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Morello-Frosch, R., Zuk, M., Jerrett, M., Shamasunder, B., &amp; Kyle, A. D. (2011). Cumulative impacts of inequalities in environmental health. Health Affairs, 30(5), 879–887.</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Silveira, S., et al. (2021). Chronic mental health sequelae of climate change extremes. International Journal of Environmental Research and Public Health, 18(4), 1487.</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Xie, E., Wang, W., Yu, Z., et al. (2021). SegFormer: Simple and efficient design for semantic segmentation with transformers. NeurIPS, 34.</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Zhu, X., Shen, Z., Zhao, Y., et al. (2025). Deep learning for shrub biomass and cover estimation in fire-prone Mediterranean shrublands. Remote Sensing of Environment, 298, 113845.</w:t>
      </w:r>
    </w:p>
    <w:p>
      <w:pPr>
        <w:pStyle w:val="Heading1"/>
        <w:spacing w:after="160" w:before="320"/>
      </w:pPr>
      <w:r>
        <w:rPr>
          <w:rFonts w:ascii="Arial" w:cs="Arial" w:eastAsia="Arial" w:hAnsi="Arial"/>
          <w:b/>
          <w:bCs/>
          <w:color w:val="1F4E79"/>
          <w:sz w:val="26"/>
          <w:szCs w:val="26"/>
        </w:rPr>
        <w:t xml:space="preserve">Conflicts of Interest</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author declares no conflicts of interest.</w:t>
      </w:r>
    </w:p>
    <w:p>
      <w:pPr>
        <w:pStyle w:val="Heading1"/>
        <w:spacing w:after="160" w:before="320"/>
      </w:pPr>
      <w:r>
        <w:rPr>
          <w:rFonts w:ascii="Arial" w:cs="Arial" w:eastAsia="Arial" w:hAnsi="Arial"/>
          <w:b/>
          <w:bCs/>
          <w:color w:val="1F4E79"/>
          <w:sz w:val="26"/>
          <w:szCs w:val="26"/>
        </w:rPr>
        <w:t xml:space="preserve">Acknowledgments</w:t>
      </w:r>
    </w:p>
    <w:p>
      <w:pPr>
        <w:spacing w:after="160" w:before="0" w:line="276"/>
        <w:jc w:val="both"/>
      </w:pPr>
      <w:r>
        <w:rPr>
          <w:rFonts w:ascii="Times New Roman" w:cs="Times New Roman" w:eastAsia="Times New Roman" w:hAnsi="Times New Roman"/>
          <w:b w:val="false"/>
          <w:bCs w:val="false"/>
          <w:i w:val="false"/>
          <w:iCs w:val="false"/>
          <w:color w:val="000000"/>
          <w:sz w:val="22"/>
          <w:szCs w:val="22"/>
        </w:rPr>
        <w:t xml:space="preserve">The author thanks the University of California San Diego and the Wildfire Science &amp; Technology Commons for organizing the Shrubwise Data Challenge and providing access to the JupyterHub NRP computing infrastructure. Special thanks to Pedro for his responsiveness throughout the challenge period.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120"/>
    </w:pPr>
    <w:r>
      <w:rPr>
        <w:rFonts w:ascii="Arial" w:cs="Arial" w:eastAsia="Arial" w:hAnsi="Arial"/>
        <w:i/>
        <w:iCs/>
        <w:color w:val="555555"/>
        <w:sz w:val="18"/>
        <w:szCs w:val="18"/>
      </w:rPr>
      <w:t xml:space="preserve">ShrubMap: High-Resolution Shrub Segmentation for Wildfire Risk and Public Health</w:t>
    </w:r>
    <w:r>
      <w:rPr>
        <w:sz w:val="18"/>
        <w:szCs w:val="18"/>
      </w:rPr>
      <w:t xml:space="preserve">	</w:t>
    </w:r>
    <w:r>
      <w:rPr>
        <w:rFonts w:ascii="Arial" w:cs="Arial" w:eastAsia="Arial" w:hAnsi="Arial"/>
        <w:color w:val="555555"/>
        <w:sz w:val="18"/>
        <w:szCs w:val="18"/>
      </w:rPr>
      <w:t xml:space="preserve">Bahig, 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2026-04-25T18:29:09.894Z</dcterms:created>
  <dcterms:modified xsi:type="dcterms:W3CDTF">2026-04-25T18:29:09.895Z</dcterms:modified>
</cp:coreProperties>
</file>

<file path=docProps/custom.xml><?xml version="1.0" encoding="utf-8"?>
<Properties xmlns="http://schemas.openxmlformats.org/officeDocument/2006/custom-properties" xmlns:vt="http://schemas.openxmlformats.org/officeDocument/2006/docPropsVTypes"/>
</file>