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E4D8C"/>
          <w:spacing w:val="0"/>
          <w:position w:val="0"/>
          <w:sz w:val="44"/>
          <w:shd w:fill="auto" w:val="clear"/>
        </w:rPr>
        <w:t xml:space="preserve">Using AI to Predict Patient-Specific Drug Response Using Big Data</w:t>
      </w:r>
    </w:p>
    <w:p>
      <w:pPr>
        <w:spacing w:before="8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666666"/>
          <w:spacing w:val="0"/>
          <w:position w:val="0"/>
          <w:sz w:val="26"/>
          <w:shd w:fill="auto" w:val="clear"/>
        </w:rPr>
        <w:t xml:space="preserve">A Full Analysis of 28 Million FDA FAERS Records : 2025</w:t>
      </w:r>
    </w:p>
    <w:p>
      <w:pPr>
        <w:spacing w:before="80" w:after="3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0077B5"/>
          <w:spacing w:val="0"/>
          <w:position w:val="0"/>
          <w:sz w:val="22"/>
          <w:shd w:fill="auto" w:val="clear"/>
        </w:rPr>
        <w:t xml:space="preserve">Sami Bahig | Researcher &amp; Healthcare Data Scientist | Clinical AI Gouvernance, MD, Msc</w:t>
      </w:r>
    </w:p>
    <w:p>
      <w:pPr>
        <w:spacing w:before="200" w:after="20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0077B5"/>
          <w:spacing w:val="0"/>
          <w:position w:val="0"/>
          <w:sz w:val="28"/>
          <w:shd w:fill="auto" w:val="clear"/>
        </w:rPr>
      </w:pPr>
      <w:r>
        <w:rPr>
          <w:rFonts w:ascii="Arial" w:hAnsi="Arial" w:cs="Arial" w:eastAsia="Arial"/>
          <w:b/>
          <w:color w:val="0077B5"/>
          <w:spacing w:val="0"/>
          <w:position w:val="0"/>
          <w:sz w:val="28"/>
          <w:shd w:fill="auto" w:val="clear"/>
        </w:rPr>
        <w:t xml:space="preserve">Abstract</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This article presents an end-to-end Big Data and AI pharmacovigilance pipeline built on the FDA Adverse Event Reporting System (FAERS) for the full year 2025, Q1 through Q4. Using Python, Google Cloud CLI, Hadoop-inspired data partitioning, NLP (TF-IDF + K-Means), and disproportionality signal detection (PRR, ROR, Chi-squared), I processed 28 million rows across 7 relational tables representing 1,617,444 patient reports, 7,801,018 drug-reaction pairs, and 5,657,830 MedDRA-coded adverse reactions. The analysis identified 716 confirmed pharmacovigilance signals for VEDOLIZUMAB alone, with PRR values reaching 594x above background rate. These findings are discussed in the context of AI-driven predictive drug safety, pharmacogenomics, and precision oncology.</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In other words, this article asks a simple but radical question: can we move from passive detection of harm to proactive prediction of who will be harmed, by which drug, and when?</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Put differently: can AI turn pharmacovigilance into a patient-specific early warning system rather than a late regulatory alarm?</w:t>
      </w:r>
    </w:p>
    <w:p>
      <w:pPr>
        <w:spacing w:before="80" w:after="120" w:line="32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E4D8C"/>
          <w:spacing w:val="0"/>
          <w:position w:val="0"/>
          <w:sz w:val="36"/>
          <w:shd w:fill="auto" w:val="clear"/>
        </w:rPr>
      </w:pPr>
      <w:r>
        <w:rPr>
          <w:rFonts w:ascii="Arial" w:hAnsi="Arial" w:cs="Arial" w:eastAsia="Arial"/>
          <w:b/>
          <w:color w:val="1E4D8C"/>
          <w:spacing w:val="0"/>
          <w:position w:val="0"/>
          <w:sz w:val="36"/>
          <w:shd w:fill="auto" w:val="clear"/>
        </w:rPr>
        <w:t xml:space="preserve">1. Introduction: Why Drug Safety Needs Big Data &amp; AI</w:t>
      </w:r>
    </w:p>
    <w:p>
      <w:pPr>
        <w:spacing w:before="80" w:after="120" w:line="320"/>
        <w:ind w:right="0" w:left="0" w:firstLine="0"/>
        <w:jc w:val="left"/>
        <w:rPr>
          <w:rFonts w:ascii="Arial" w:hAnsi="Arial" w:cs="Arial" w:eastAsia="Arial"/>
          <w:color w:val="333333"/>
          <w:spacing w:val="0"/>
          <w:position w:val="0"/>
          <w:sz w:val="22"/>
          <w:shd w:fill="auto" w:val="clear"/>
        </w:rPr>
      </w:pP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Adverse drug reactions (ADRs) represent one of the most significant  and preventable causes of morbidity and mortality in modern healthcare. According to WHO estimates, ADRs are responsible for 5 to 7% of hospital admissions globally, and fewer than 10% of adverse events are ever formally reported to regulatory databases such as the FDA's FAERS system.</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Current pharmacovigilance is fundamentally reactive. Regulatory signals are detected only after thousands of patients have already been exposed to a risk. The standard detection methods, Proportional Reporting Ratio (PRR) and Reporting Odds Ratio (ROR),  require large volumes of reports to reach statistical significance, often creating a lag of 6 to 24 months between a real-world safety event and a regulatory action.</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question this project addresses is: can Big Data infrastructure and AI transform pharmacovigilance from a reactive surveillance system into a predictive, patient-specific risk assessment tool,  one that flags potential toxicity before the first prescription is even written?</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color w:val="333333"/>
          <w:spacing w:val="0"/>
          <w:position w:val="0"/>
          <w:sz w:val="22"/>
          <w:shd w:fill="auto" w:val="clear"/>
        </w:rPr>
      </w:pPr>
      <w:r>
        <w:rPr>
          <w:rFonts w:ascii="Arial" w:hAnsi="Arial" w:cs="Arial" w:eastAsia="Arial"/>
          <w:b/>
          <w:color w:val="1E4D8C"/>
          <w:spacing w:val="0"/>
          <w:position w:val="0"/>
          <w:sz w:val="36"/>
          <w:shd w:fill="auto" w:val="clear"/>
        </w:rPr>
        <w:t xml:space="preserve">2. Dataset :  FDA FAERS 2025, Full Year</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FDA Adverse Event Reporting System (FAERS) is one of the largest real-world drug safety databases in existence. For this analysis, I downloaded and processed all four quarters of 2025 (Q1 through Q4) in ASCII format,  a total of 32 raw text files delimited by the $ character, representing approximately 8 GB of compressed data.</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2.1 Dataset Scale</w:t>
      </w:r>
    </w:p>
    <w:tbl>
      <w:tblPr/>
      <w:tblGrid>
        <w:gridCol w:w="2200"/>
        <w:gridCol w:w="716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1e4d8c" w:val="clear"/>
            <w:tcMar>
              <w:left w:w="160" w:type="dxa"/>
              <w:right w:w="160" w:type="dxa"/>
            </w:tcMar>
            <w:vAlign w:val="top"/>
          </w:tcPr>
          <w:p>
            <w:pPr>
              <w:spacing w:before="0" w:after="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Records</w:t>
            </w:r>
          </w:p>
        </w:tc>
        <w:tc>
          <w:tcPr>
            <w:tcW w:w="7160" w:type="dxa"/>
            <w:tcBorders>
              <w:top w:val="single" w:color="cccccc" w:sz="1"/>
              <w:left w:val="single" w:color="cccccc" w:sz="1"/>
              <w:bottom w:val="single" w:color="cccccc" w:sz="1"/>
              <w:right w:val="single" w:color="cccccc" w:sz="1"/>
            </w:tcBorders>
            <w:shd w:color="000000" w:fill="1e4d8c" w:val="clear"/>
            <w:tcMar>
              <w:left w:w="160" w:type="dxa"/>
              <w:right w:w="160" w:type="dxa"/>
            </w:tcMar>
            <w:vAlign w:val="top"/>
          </w:tcPr>
          <w:p>
            <w:pPr>
              <w:spacing w:before="0" w:after="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Table / Content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bf3fb" w:val="clear"/>
            <w:tcMar>
              <w:left w:w="160" w:type="dxa"/>
              <w:right w:w="160" w:type="dxa"/>
            </w:tcMar>
            <w:vAlign w:val="top"/>
          </w:tcPr>
          <w:p>
            <w:pPr>
              <w:spacing w:before="0" w:after="0" w:line="240"/>
              <w:ind w:right="0" w:left="0" w:firstLine="0"/>
              <w:jc w:val="right"/>
              <w:rPr>
                <w:spacing w:val="0"/>
                <w:position w:val="0"/>
              </w:rPr>
            </w:pPr>
            <w:r>
              <w:rPr>
                <w:rFonts w:ascii="Arial Narrow" w:hAnsi="Arial Narrow" w:cs="Arial Narrow" w:eastAsia="Arial Narrow"/>
                <w:b/>
                <w:color w:val="1E4D8C"/>
                <w:spacing w:val="0"/>
                <w:position w:val="0"/>
                <w:sz w:val="26"/>
                <w:shd w:fill="auto" w:val="clear"/>
              </w:rPr>
              <w:t xml:space="preserve">1,617,444</w:t>
            </w:r>
          </w:p>
        </w:tc>
        <w:tc>
          <w:tcPr>
            <w:tcW w:w="71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left"/>
              <w:rPr>
                <w:spacing w:val="0"/>
                <w:position w:val="0"/>
                <w:sz w:val="22"/>
              </w:rPr>
            </w:pPr>
            <w:r>
              <w:rPr>
                <w:rFonts w:ascii="Arial" w:hAnsi="Arial" w:cs="Arial" w:eastAsia="Arial"/>
                <w:color w:val="444444"/>
                <w:spacing w:val="0"/>
                <w:position w:val="0"/>
                <w:sz w:val="22"/>
                <w:shd w:fill="auto" w:val="clear"/>
              </w:rPr>
              <w:t xml:space="preserve">DEMO : Patient demographics, age, sex, country, reporter type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bf3fb" w:val="clear"/>
            <w:tcMar>
              <w:left w:w="160" w:type="dxa"/>
              <w:right w:w="160" w:type="dxa"/>
            </w:tcMar>
            <w:vAlign w:val="top"/>
          </w:tcPr>
          <w:p>
            <w:pPr>
              <w:spacing w:before="0" w:after="0" w:line="240"/>
              <w:ind w:right="0" w:left="0" w:firstLine="0"/>
              <w:jc w:val="right"/>
              <w:rPr>
                <w:spacing w:val="0"/>
                <w:position w:val="0"/>
              </w:rPr>
            </w:pPr>
            <w:r>
              <w:rPr>
                <w:rFonts w:ascii="Arial Narrow" w:hAnsi="Arial Narrow" w:cs="Arial Narrow" w:eastAsia="Arial Narrow"/>
                <w:b/>
                <w:color w:val="1E4D8C"/>
                <w:spacing w:val="0"/>
                <w:position w:val="0"/>
                <w:sz w:val="26"/>
                <w:shd w:fill="auto" w:val="clear"/>
              </w:rPr>
              <w:t xml:space="preserve">7,801,018</w:t>
            </w:r>
          </w:p>
        </w:tc>
        <w:tc>
          <w:tcPr>
            <w:tcW w:w="71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left"/>
              <w:rPr>
                <w:spacing w:val="0"/>
                <w:position w:val="0"/>
                <w:sz w:val="22"/>
              </w:rPr>
            </w:pPr>
            <w:r>
              <w:rPr>
                <w:rFonts w:ascii="Arial" w:hAnsi="Arial" w:cs="Arial" w:eastAsia="Arial"/>
                <w:color w:val="444444"/>
                <w:spacing w:val="0"/>
                <w:position w:val="0"/>
                <w:sz w:val="22"/>
                <w:shd w:fill="auto" w:val="clear"/>
              </w:rPr>
              <w:t xml:space="preserve">DRUG : Drug/biologic records, role (suspect/concomitant), route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bf3fb" w:val="clear"/>
            <w:tcMar>
              <w:left w:w="160" w:type="dxa"/>
              <w:right w:w="160" w:type="dxa"/>
            </w:tcMar>
            <w:vAlign w:val="top"/>
          </w:tcPr>
          <w:p>
            <w:pPr>
              <w:spacing w:before="0" w:after="0" w:line="240"/>
              <w:ind w:right="0" w:left="0" w:firstLine="0"/>
              <w:jc w:val="right"/>
              <w:rPr>
                <w:spacing w:val="0"/>
                <w:position w:val="0"/>
              </w:rPr>
            </w:pPr>
            <w:r>
              <w:rPr>
                <w:rFonts w:ascii="Arial Narrow" w:hAnsi="Arial Narrow" w:cs="Arial Narrow" w:eastAsia="Arial Narrow"/>
                <w:b/>
                <w:color w:val="1E4D8C"/>
                <w:spacing w:val="0"/>
                <w:position w:val="0"/>
                <w:sz w:val="26"/>
                <w:shd w:fill="auto" w:val="clear"/>
              </w:rPr>
              <w:t xml:space="preserve">5,657,830</w:t>
            </w:r>
          </w:p>
        </w:tc>
        <w:tc>
          <w:tcPr>
            <w:tcW w:w="71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left"/>
              <w:rPr>
                <w:spacing w:val="0"/>
                <w:position w:val="0"/>
                <w:sz w:val="22"/>
              </w:rPr>
            </w:pPr>
            <w:r>
              <w:rPr>
                <w:rFonts w:ascii="Arial" w:hAnsi="Arial" w:cs="Arial" w:eastAsia="Arial"/>
                <w:color w:val="444444"/>
                <w:spacing w:val="0"/>
                <w:position w:val="0"/>
                <w:sz w:val="22"/>
                <w:shd w:fill="auto" w:val="clear"/>
              </w:rPr>
              <w:t xml:space="preserve">REAC : MedDRA Preferred Term adverse reactions</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bf3fb" w:val="clear"/>
            <w:tcMar>
              <w:left w:w="160" w:type="dxa"/>
              <w:right w:w="160" w:type="dxa"/>
            </w:tcMar>
            <w:vAlign w:val="top"/>
          </w:tcPr>
          <w:p>
            <w:pPr>
              <w:spacing w:before="0" w:after="0" w:line="240"/>
              <w:ind w:right="0" w:left="0" w:firstLine="0"/>
              <w:jc w:val="right"/>
              <w:rPr>
                <w:spacing w:val="0"/>
                <w:position w:val="0"/>
              </w:rPr>
            </w:pPr>
            <w:r>
              <w:rPr>
                <w:rFonts w:ascii="Arial Narrow" w:hAnsi="Arial Narrow" w:cs="Arial Narrow" w:eastAsia="Arial Narrow"/>
                <w:b/>
                <w:color w:val="1E4D8C"/>
                <w:spacing w:val="0"/>
                <w:position w:val="0"/>
                <w:sz w:val="26"/>
                <w:shd w:fill="auto" w:val="clear"/>
              </w:rPr>
              <w:t xml:space="preserve">1,232,582</w:t>
            </w:r>
          </w:p>
        </w:tc>
        <w:tc>
          <w:tcPr>
            <w:tcW w:w="71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left"/>
              <w:rPr>
                <w:spacing w:val="0"/>
                <w:position w:val="0"/>
                <w:sz w:val="22"/>
              </w:rPr>
            </w:pPr>
            <w:r>
              <w:rPr>
                <w:rFonts w:ascii="Arial" w:hAnsi="Arial" w:cs="Arial" w:eastAsia="Arial"/>
                <w:color w:val="444444"/>
                <w:spacing w:val="0"/>
                <w:position w:val="0"/>
                <w:sz w:val="22"/>
                <w:shd w:fill="auto" w:val="clear"/>
              </w:rPr>
              <w:t xml:space="preserve">OUTC : Patient outcomes (death, hospitalization, life-threatening...)</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bf3fb" w:val="clear"/>
            <w:tcMar>
              <w:left w:w="160" w:type="dxa"/>
              <w:right w:w="160" w:type="dxa"/>
            </w:tcMar>
            <w:vAlign w:val="top"/>
          </w:tcPr>
          <w:p>
            <w:pPr>
              <w:spacing w:before="0" w:after="0" w:line="240"/>
              <w:ind w:right="0" w:left="0" w:firstLine="0"/>
              <w:jc w:val="right"/>
              <w:rPr>
                <w:spacing w:val="0"/>
                <w:position w:val="0"/>
              </w:rPr>
            </w:pPr>
            <w:r>
              <w:rPr>
                <w:rFonts w:ascii="Arial Narrow" w:hAnsi="Arial Narrow" w:cs="Arial Narrow" w:eastAsia="Arial Narrow"/>
                <w:b/>
                <w:color w:val="1E4D8C"/>
                <w:spacing w:val="0"/>
                <w:position w:val="0"/>
                <w:sz w:val="26"/>
                <w:shd w:fill="auto" w:val="clear"/>
              </w:rPr>
              <w:t xml:space="preserve">4,821,589</w:t>
            </w:r>
          </w:p>
        </w:tc>
        <w:tc>
          <w:tcPr>
            <w:tcW w:w="71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left"/>
              <w:rPr>
                <w:spacing w:val="0"/>
                <w:position w:val="0"/>
                <w:sz w:val="22"/>
              </w:rPr>
            </w:pPr>
            <w:r>
              <w:rPr>
                <w:rFonts w:ascii="Arial" w:hAnsi="Arial" w:cs="Arial" w:eastAsia="Arial"/>
                <w:color w:val="444444"/>
                <w:spacing w:val="0"/>
                <w:position w:val="0"/>
                <w:sz w:val="22"/>
                <w:shd w:fill="auto" w:val="clear"/>
              </w:rPr>
              <w:t xml:space="preserve">INDI :  Drug indications (patient diagnoses at time of reporting)</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bf3fb" w:val="clear"/>
            <w:tcMar>
              <w:left w:w="160" w:type="dxa"/>
              <w:right w:w="160" w:type="dxa"/>
            </w:tcMar>
            <w:vAlign w:val="top"/>
          </w:tcPr>
          <w:p>
            <w:pPr>
              <w:spacing w:before="0" w:after="0" w:line="240"/>
              <w:ind w:right="0" w:left="0" w:firstLine="0"/>
              <w:jc w:val="right"/>
              <w:rPr>
                <w:spacing w:val="0"/>
                <w:position w:val="0"/>
              </w:rPr>
            </w:pPr>
            <w:r>
              <w:rPr>
                <w:rFonts w:ascii="Arial Narrow" w:hAnsi="Arial Narrow" w:cs="Arial Narrow" w:eastAsia="Arial Narrow"/>
                <w:b/>
                <w:color w:val="1E4D8C"/>
                <w:spacing w:val="0"/>
                <w:position w:val="0"/>
                <w:sz w:val="26"/>
                <w:shd w:fill="auto" w:val="clear"/>
              </w:rPr>
              <w:t xml:space="preserve">2,002,380</w:t>
            </w:r>
          </w:p>
        </w:tc>
        <w:tc>
          <w:tcPr>
            <w:tcW w:w="71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left"/>
              <w:rPr>
                <w:spacing w:val="0"/>
                <w:position w:val="0"/>
                <w:sz w:val="22"/>
              </w:rPr>
            </w:pPr>
            <w:r>
              <w:rPr>
                <w:rFonts w:ascii="Arial" w:hAnsi="Arial" w:cs="Arial" w:eastAsia="Arial"/>
                <w:color w:val="444444"/>
                <w:spacing w:val="0"/>
                <w:position w:val="0"/>
                <w:sz w:val="22"/>
                <w:shd w:fill="auto" w:val="clear"/>
              </w:rPr>
              <w:t xml:space="preserve">THER : Therapy start/end dates and durations</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bf3fb" w:val="clear"/>
            <w:tcMar>
              <w:left w:w="160" w:type="dxa"/>
              <w:right w:w="160" w:type="dxa"/>
            </w:tcMar>
            <w:vAlign w:val="top"/>
          </w:tcPr>
          <w:p>
            <w:pPr>
              <w:spacing w:before="0" w:after="0" w:line="240"/>
              <w:ind w:right="0" w:left="0" w:firstLine="0"/>
              <w:jc w:val="right"/>
              <w:rPr>
                <w:spacing w:val="0"/>
                <w:position w:val="0"/>
              </w:rPr>
            </w:pPr>
            <w:r>
              <w:rPr>
                <w:rFonts w:ascii="Arial Narrow" w:hAnsi="Arial Narrow" w:cs="Arial Narrow" w:eastAsia="Arial Narrow"/>
                <w:b/>
                <w:color w:val="1E4D8C"/>
                <w:spacing w:val="0"/>
                <w:position w:val="0"/>
                <w:sz w:val="26"/>
                <w:shd w:fill="auto" w:val="clear"/>
              </w:rPr>
              <w:t xml:space="preserve">43,939</w:t>
            </w:r>
          </w:p>
        </w:tc>
        <w:tc>
          <w:tcPr>
            <w:tcW w:w="71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left"/>
              <w:rPr>
                <w:spacing w:val="0"/>
                <w:position w:val="0"/>
                <w:sz w:val="22"/>
              </w:rPr>
            </w:pPr>
            <w:r>
              <w:rPr>
                <w:rFonts w:ascii="Arial" w:hAnsi="Arial" w:cs="Arial" w:eastAsia="Arial"/>
                <w:color w:val="444444"/>
                <w:spacing w:val="0"/>
                <w:position w:val="0"/>
                <w:sz w:val="22"/>
                <w:shd w:fill="auto" w:val="clear"/>
              </w:rPr>
              <w:t xml:space="preserve">RPSR :  Report source codes</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ebf3fb" w:val="clear"/>
            <w:tcMar>
              <w:left w:w="160" w:type="dxa"/>
              <w:right w:w="160" w:type="dxa"/>
            </w:tcMar>
            <w:vAlign w:val="top"/>
          </w:tcPr>
          <w:p>
            <w:pPr>
              <w:spacing w:before="0" w:after="0" w:line="240"/>
              <w:ind w:right="0" w:left="0" w:firstLine="0"/>
              <w:jc w:val="right"/>
              <w:rPr>
                <w:spacing w:val="0"/>
                <w:position w:val="0"/>
              </w:rPr>
            </w:pPr>
            <w:r>
              <w:rPr>
                <w:rFonts w:ascii="Arial Narrow" w:hAnsi="Arial Narrow" w:cs="Arial Narrow" w:eastAsia="Arial Narrow"/>
                <w:b/>
                <w:color w:val="C0392B"/>
                <w:spacing w:val="0"/>
                <w:position w:val="0"/>
                <w:sz w:val="26"/>
                <w:shd w:fill="auto" w:val="clear"/>
              </w:rPr>
              <w:t xml:space="preserve">28,176,762</w:t>
            </w:r>
          </w:p>
        </w:tc>
        <w:tc>
          <w:tcPr>
            <w:tcW w:w="7160" w:type="dxa"/>
            <w:tcBorders>
              <w:top w:val="single" w:color="cccccc" w:sz="1"/>
              <w:left w:val="single" w:color="cccccc" w:sz="1"/>
              <w:bottom w:val="single" w:color="cccccc" w:sz="1"/>
              <w:right w:val="single" w:color="cccccc" w:sz="1"/>
            </w:tcBorders>
            <w:shd w:color="000000" w:fill="ffffff" w:val="clear"/>
            <w:tcMar>
              <w:left w:w="160" w:type="dxa"/>
              <w:right w:w="160" w:type="dxa"/>
            </w:tcMar>
            <w:vAlign w:val="top"/>
          </w:tcPr>
          <w:p>
            <w:pPr>
              <w:spacing w:before="0" w:after="0" w:line="240"/>
              <w:ind w:right="0" w:left="0" w:firstLine="0"/>
              <w:jc w:val="left"/>
              <w:rPr>
                <w:spacing w:val="0"/>
                <w:position w:val="0"/>
                <w:sz w:val="22"/>
              </w:rPr>
            </w:pPr>
            <w:r>
              <w:rPr>
                <w:rFonts w:ascii="Arial" w:hAnsi="Arial" w:cs="Arial" w:eastAsia="Arial"/>
                <w:color w:val="444444"/>
                <w:spacing w:val="0"/>
                <w:position w:val="0"/>
                <w:sz w:val="22"/>
                <w:shd w:fill="auto" w:val="clear"/>
              </w:rPr>
              <w:t xml:space="preserve">TOTAL :  Rows processed across all 7 tables</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2.2 Global Coverage</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Reports originated from over 15 countries, with the following top contributors:</w:t>
      </w:r>
    </w:p>
    <w:p>
      <w:pPr>
        <w:numPr>
          <w:ilvl w:val="0"/>
          <w:numId w:val="46"/>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United States: 3,467,671 reports (largest contributor by far)</w:t>
      </w:r>
    </w:p>
    <w:p>
      <w:pPr>
        <w:numPr>
          <w:ilvl w:val="0"/>
          <w:numId w:val="46"/>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Canada: 2,205,259 reports (second largest globally)</w:t>
      </w:r>
    </w:p>
    <w:p>
      <w:pPr>
        <w:numPr>
          <w:ilvl w:val="0"/>
          <w:numId w:val="46"/>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United Kingdom: 300,493 reports</w:t>
      </w:r>
    </w:p>
    <w:p>
      <w:pPr>
        <w:numPr>
          <w:ilvl w:val="0"/>
          <w:numId w:val="46"/>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Japan: 273,300 reports</w:t>
      </w:r>
    </w:p>
    <w:p>
      <w:pPr>
        <w:numPr>
          <w:ilvl w:val="0"/>
          <w:numId w:val="46"/>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France: 142,834 reports | Germany: 102,360 reports</w:t>
      </w:r>
    </w:p>
    <w:p>
      <w:pPr>
        <w:numPr>
          <w:ilvl w:val="0"/>
          <w:numId w:val="46"/>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Australia, Italy, Spain, Brazil, India, South Korea, and Poland also represented</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E4D8C"/>
          <w:spacing w:val="0"/>
          <w:position w:val="0"/>
          <w:sz w:val="36"/>
          <w:shd w:fill="auto" w:val="clear"/>
        </w:rPr>
        <w:t xml:space="preserve">3. Technical Pipeline &amp; Big Data Engineering</w:t>
      </w: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3.1 Infrastructure</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full pipeline was built and executed on Google Colab Pro+ with 54 GB of RAM. Google Cloud CLI was used for environment setup and data transfer. The quarterly data partitioning (Q1, Q2, Q3, Q4) was processed following Hadoop MapReduce principles each quarter treated as an independent partition, then concatenated enabling the pipeline to scale to any number of periods without rewriting the core logic.</w:t>
      </w: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3.2 Data Engineering Optimizations</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Processing 28 million rows in a single-machine environment required aggressive engineering. Key optimizations included:</w:t>
      </w:r>
    </w:p>
    <w:p>
      <w:pPr>
        <w:numPr>
          <w:ilvl w:val="0"/>
          <w:numId w:val="53"/>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Custom load_slim() function: reads only the file header first to detect column names, then reloads with usecols reducing DEMO from 1,298 MB to 195 MB at load time, and DRUG from 5,003 MB to 939 MB</w:t>
      </w:r>
    </w:p>
    <w:p>
      <w:pPr>
        <w:numPr>
          <w:ilvl w:val="0"/>
          <w:numId w:val="53"/>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Deduplication of DEMO table: retained only the most recent case version per primaryid (caseversion MAX), reducing 1,617,444 rows to 1,617,313 unique cases</w:t>
      </w:r>
    </w:p>
    <w:p>
      <w:pPr>
        <w:numPr>
          <w:ilvl w:val="0"/>
          <w:numId w:val="53"/>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3-table merge architecture: DEMO x DRUG merged first (7.8M rows x 14 columns = 1.85 GB), REAC kept separate naive full merge produced a 104-million-row cartesian explosion that was identified and corrected</w:t>
      </w:r>
    </w:p>
    <w:p>
      <w:pPr>
        <w:numPr>
          <w:ilvl w:val="0"/>
          <w:numId w:val="53"/>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Type optimization: int64 cast to int32, high-cardinality object columns cast to category dtype reducing memory footprint by approximately 40%</w:t>
      </w:r>
    </w:p>
    <w:p>
      <w:pPr>
        <w:numPr>
          <w:ilvl w:val="0"/>
          <w:numId w:val="53"/>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gc.collect() called between every merge operation to immediately release RAM</w:t>
      </w:r>
    </w:p>
    <w:p>
      <w:pPr>
        <w:numPr>
          <w:ilvl w:val="0"/>
          <w:numId w:val="53"/>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Peak RAM usage during entire pipeline: approximately 5 GB out of 54 GB available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3.3 NLP Pipeline : NLTK + TF-IDF + K-Means</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Natural Language Processing was applied to 200,000 MedDRA Preferred Term reaction strings to extract structure from unstructured clinical text:</w:t>
      </w:r>
    </w:p>
    <w:p>
      <w:pPr>
        <w:numPr>
          <w:ilvl w:val="0"/>
          <w:numId w:val="57"/>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Tokenization: NLTK word_tokenize() with English stopword removal</w:t>
      </w:r>
    </w:p>
    <w:p>
      <w:pPr>
        <w:numPr>
          <w:ilvl w:val="0"/>
          <w:numId w:val="57"/>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Feature extraction: TF-IDF vectorization :  500 features, unigrams and bigrams (ngram_range 1,2)</w:t>
      </w:r>
    </w:p>
    <w:p>
      <w:pPr>
        <w:numPr>
          <w:ilvl w:val="0"/>
          <w:numId w:val="57"/>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Clustering: K-Means with k=5, n_init=10, max_iter=300, applied on a stratified sample of 50,000 reactions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NLP pipeline automatically identified 5 clinically meaningful clusters:</w:t>
      </w:r>
    </w:p>
    <w:tbl>
      <w:tblPr/>
      <w:tblGrid>
        <w:gridCol w:w="1800"/>
        <w:gridCol w:w="2800"/>
        <w:gridCol w:w="4760"/>
      </w:tblGrid>
      <w:tr>
        <w:trPr>
          <w:trHeight w:val="1" w:hRule="atLeast"/>
          <w:jc w:val="left"/>
        </w:trPr>
        <w:tc>
          <w:tcPr>
            <w:tcW w:w="1800" w:type="dxa"/>
            <w:tcBorders>
              <w:top w:val="single" w:color="cccccc" w:sz="1"/>
              <w:left w:val="single" w:color="cccccc" w:sz="1"/>
              <w:bottom w:val="single" w:color="cccccc" w:sz="1"/>
              <w:right w:val="single" w:color="cccccc" w:sz="1"/>
            </w:tcBorders>
            <w:shd w:color="000000" w:fill="1e4d8c"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Cluster</w:t>
            </w:r>
          </w:p>
        </w:tc>
        <w:tc>
          <w:tcPr>
            <w:tcW w:w="2800" w:type="dxa"/>
            <w:tcBorders>
              <w:top w:val="single" w:color="cccccc" w:sz="1"/>
              <w:left w:val="single" w:color="cccccc" w:sz="1"/>
              <w:bottom w:val="single" w:color="cccccc" w:sz="1"/>
              <w:right w:val="single" w:color="cccccc" w:sz="1"/>
            </w:tcBorders>
            <w:shd w:color="000000" w:fill="1e4d8c"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Label</w:t>
            </w:r>
          </w:p>
        </w:tc>
        <w:tc>
          <w:tcPr>
            <w:tcW w:w="4760" w:type="dxa"/>
            <w:tcBorders>
              <w:top w:val="single" w:color="cccccc" w:sz="1"/>
              <w:left w:val="single" w:color="cccccc" w:sz="1"/>
              <w:bottom w:val="single" w:color="cccccc" w:sz="1"/>
              <w:right w:val="single" w:color="cccccc" w:sz="1"/>
            </w:tcBorders>
            <w:shd w:color="000000" w:fill="1e4d8c"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Top Terms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3f6f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077B5"/>
                <w:spacing w:val="0"/>
                <w:position w:val="0"/>
                <w:sz w:val="20"/>
                <w:shd w:fill="auto" w:val="clear"/>
              </w:rPr>
              <w:t xml:space="preserve">Cluster 0</w:t>
            </w:r>
          </w:p>
        </w:tc>
        <w:tc>
          <w:tcPr>
            <w:tcW w:w="2800" w:type="dxa"/>
            <w:tcBorders>
              <w:top w:val="single" w:color="cccccc" w:sz="1"/>
              <w:left w:val="single" w:color="cccccc" w:sz="1"/>
              <w:bottom w:val="single" w:color="cccccc" w:sz="1"/>
              <w:right w:val="single" w:color="cccccc" w:sz="1"/>
            </w:tcBorders>
            <w:shd w:color="000000" w:fill="f3f6f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1A1A2E"/>
                <w:spacing w:val="0"/>
                <w:position w:val="0"/>
                <w:sz w:val="20"/>
                <w:shd w:fill="auto" w:val="clear"/>
              </w:rPr>
              <w:t xml:space="preserve">Systemic reactions</w:t>
            </w:r>
          </w:p>
        </w:tc>
        <w:tc>
          <w:tcPr>
            <w:tcW w:w="4760" w:type="dxa"/>
            <w:tcBorders>
              <w:top w:val="single" w:color="cccccc" w:sz="1"/>
              <w:left w:val="single" w:color="cccccc" w:sz="1"/>
              <w:bottom w:val="single" w:color="cccccc" w:sz="1"/>
              <w:right w:val="single" w:color="cccccc" w:sz="1"/>
            </w:tcBorders>
            <w:shd w:color="000000" w:fill="f3f6f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555555"/>
                <w:spacing w:val="0"/>
                <w:position w:val="0"/>
                <w:sz w:val="20"/>
                <w:shd w:fill="auto" w:val="clear"/>
              </w:rPr>
              <w:t xml:space="preserve">pain · fatigue · nausea · diarrhoea · infection · decreased</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077B5"/>
                <w:spacing w:val="0"/>
                <w:position w:val="0"/>
                <w:sz w:val="20"/>
                <w:shd w:fill="auto" w:val="clear"/>
              </w:rPr>
              <w:t xml:space="preserve">Cluster 1</w:t>
            </w:r>
          </w:p>
        </w:tc>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1A1A2E"/>
                <w:spacing w:val="0"/>
                <w:position w:val="0"/>
                <w:sz w:val="20"/>
                <w:shd w:fill="auto" w:val="clear"/>
              </w:rPr>
              <w:t xml:space="preserve">Off-label &amp; exposure</w:t>
            </w:r>
          </w:p>
        </w:tc>
        <w:tc>
          <w:tcPr>
            <w:tcW w:w="4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555555"/>
                <w:spacing w:val="0"/>
                <w:position w:val="0"/>
                <w:sz w:val="20"/>
                <w:shd w:fill="auto" w:val="clear"/>
              </w:rPr>
              <w:t xml:space="preserve">label use · extra dose · exposure pregnancy · skin</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3f6f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077B5"/>
                <w:spacing w:val="0"/>
                <w:position w:val="0"/>
                <w:sz w:val="20"/>
                <w:shd w:fill="auto" w:val="clear"/>
              </w:rPr>
              <w:t xml:space="preserve">Cluster 2</w:t>
            </w:r>
          </w:p>
        </w:tc>
        <w:tc>
          <w:tcPr>
            <w:tcW w:w="2800" w:type="dxa"/>
            <w:tcBorders>
              <w:top w:val="single" w:color="cccccc" w:sz="1"/>
              <w:left w:val="single" w:color="cccccc" w:sz="1"/>
              <w:bottom w:val="single" w:color="cccccc" w:sz="1"/>
              <w:right w:val="single" w:color="cccccc" w:sz="1"/>
            </w:tcBorders>
            <w:shd w:color="000000" w:fill="f3f6f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1A1A2E"/>
                <w:spacing w:val="0"/>
                <w:position w:val="0"/>
                <w:sz w:val="20"/>
                <w:shd w:fill="auto" w:val="clear"/>
              </w:rPr>
              <w:t xml:space="preserve">Dosing &amp; device errors</w:t>
            </w:r>
          </w:p>
        </w:tc>
        <w:tc>
          <w:tcPr>
            <w:tcW w:w="4760" w:type="dxa"/>
            <w:tcBorders>
              <w:top w:val="single" w:color="cccccc" w:sz="1"/>
              <w:left w:val="single" w:color="cccccc" w:sz="1"/>
              <w:bottom w:val="single" w:color="cccccc" w:sz="1"/>
              <w:right w:val="single" w:color="cccccc" w:sz="1"/>
            </w:tcBorders>
            <w:shd w:color="000000" w:fill="f3f6f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555555"/>
                <w:spacing w:val="0"/>
                <w:position w:val="0"/>
                <w:sz w:val="20"/>
                <w:shd w:fill="auto" w:val="clear"/>
              </w:rPr>
              <w:t xml:space="preserve">dose omission · product issue · device · schedule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077B5"/>
                <w:spacing w:val="0"/>
                <w:position w:val="0"/>
                <w:sz w:val="20"/>
                <w:shd w:fill="auto" w:val="clear"/>
              </w:rPr>
              <w:t xml:space="preserve">Cluster 3</w:t>
            </w:r>
          </w:p>
        </w:tc>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1A1A2E"/>
                <w:spacing w:val="0"/>
                <w:position w:val="0"/>
                <w:sz w:val="20"/>
                <w:shd w:fill="auto" w:val="clear"/>
              </w:rPr>
              <w:t xml:space="preserve">Injection site reactions</w:t>
            </w:r>
          </w:p>
        </w:tc>
        <w:tc>
          <w:tcPr>
            <w:tcW w:w="4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555555"/>
                <w:spacing w:val="0"/>
                <w:position w:val="0"/>
                <w:sz w:val="20"/>
                <w:shd w:fill="auto" w:val="clear"/>
              </w:rPr>
              <w:t xml:space="preserve">injection site · pruritus · erythema · swelling · pain</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3f6f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0077B5"/>
                <w:spacing w:val="0"/>
                <w:position w:val="0"/>
                <w:sz w:val="20"/>
                <w:shd w:fill="auto" w:val="clear"/>
              </w:rPr>
              <w:t xml:space="preserve">Cluster 4</w:t>
            </w:r>
          </w:p>
        </w:tc>
        <w:tc>
          <w:tcPr>
            <w:tcW w:w="2800" w:type="dxa"/>
            <w:tcBorders>
              <w:top w:val="single" w:color="cccccc" w:sz="1"/>
              <w:left w:val="single" w:color="cccccc" w:sz="1"/>
              <w:bottom w:val="single" w:color="cccccc" w:sz="1"/>
              <w:right w:val="single" w:color="cccccc" w:sz="1"/>
            </w:tcBorders>
            <w:shd w:color="000000" w:fill="f3f6f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1A1A2E"/>
                <w:spacing w:val="0"/>
                <w:position w:val="0"/>
                <w:sz w:val="20"/>
                <w:shd w:fill="auto" w:val="clear"/>
              </w:rPr>
              <w:t xml:space="preserve">Organ-specific disorders</w:t>
            </w:r>
          </w:p>
        </w:tc>
        <w:tc>
          <w:tcPr>
            <w:tcW w:w="4760" w:type="dxa"/>
            <w:tcBorders>
              <w:top w:val="single" w:color="cccccc" w:sz="1"/>
              <w:left w:val="single" w:color="cccccc" w:sz="1"/>
              <w:bottom w:val="single" w:color="cccccc" w:sz="1"/>
              <w:right w:val="single" w:color="cccccc" w:sz="1"/>
            </w:tcBorders>
            <w:shd w:color="000000" w:fill="f3f6fb"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555555"/>
                <w:spacing w:val="0"/>
                <w:position w:val="0"/>
                <w:sz w:val="20"/>
                <w:shd w:fill="auto" w:val="clear"/>
              </w:rPr>
              <w:t xml:space="preserve">gastrointestinal · cardiac · pulmonary · sleep · balance</w:t>
            </w:r>
          </w:p>
        </w:tc>
      </w:tr>
    </w:tbl>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i/>
          <w:color w:val="1A7340"/>
          <w:spacing w:val="0"/>
          <w:position w:val="0"/>
          <w:sz w:val="22"/>
          <w:shd w:fill="auto" w:val="clear"/>
        </w:rPr>
        <w:t xml:space="preserve">Notably, these 5 clusters map precisely to the core safety domains used by EMA and FDA in structured benefit-risk assessment,  demonstrating that unsupervised NLP can automatically reproduce expert clinical taxonomy from raw adverse event strings.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E4D8C"/>
          <w:spacing w:val="0"/>
          <w:position w:val="0"/>
          <w:sz w:val="36"/>
          <w:shd w:fill="auto" w:val="clear"/>
        </w:rPr>
        <w:t xml:space="preserve">4. Key Findings</w:t>
      </w: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4.1 Top Suspect Drugs :  2025</w:t>
      </w:r>
    </w:p>
    <w:p>
      <w:pPr>
        <w:numPr>
          <w:ilvl w:val="0"/>
          <w:numId w:val="82"/>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DUPIXENT (dupilumab): 141,289 reports :  #1 by a wide margin</w:t>
      </w:r>
    </w:p>
    <w:p>
      <w:pPr>
        <w:numPr>
          <w:ilvl w:val="0"/>
          <w:numId w:val="82"/>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VEDOLIZUMAB: 67,974 reports :  subject of deep-dive signal analysis below</w:t>
      </w:r>
    </w:p>
    <w:p>
      <w:pPr>
        <w:numPr>
          <w:ilvl w:val="0"/>
          <w:numId w:val="82"/>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GLP-1 agonists rising rapidly: ZEPBOUND 30,346 | MOUNJARO 28,405 | OZEMPIC 15,311</w:t>
      </w:r>
    </w:p>
    <w:p>
      <w:pPr>
        <w:numPr>
          <w:ilvl w:val="0"/>
          <w:numId w:val="82"/>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SKYRIZI, ORGOVYX, RINVOQ, REVLIMID, HUMIRA also in top 10</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dominance of biologics and GLP-1 agonists reflects both their commercial growth and the active pharmacovigilance culture among specialty prescribers.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4.2 Top Adverse Reactions :  What the Data Reveals</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b/>
          <w:color w:val="C0392B"/>
          <w:spacing w:val="0"/>
          <w:position w:val="0"/>
          <w:sz w:val="22"/>
          <w:shd w:fill="auto" w:val="clear"/>
        </w:rPr>
        <w:t xml:space="preserve">Finding #1: </w:t>
      </w:r>
      <w:r>
        <w:rPr>
          <w:rFonts w:ascii="Arial" w:hAnsi="Arial" w:cs="Arial" w:eastAsia="Arial"/>
          <w:color w:val="333333"/>
          <w:spacing w:val="0"/>
          <w:position w:val="0"/>
          <w:sz w:val="22"/>
          <w:shd w:fill="auto" w:val="clear"/>
        </w:rPr>
        <w:t xml:space="preserve">"Off label use" is the #1 reported adverse event with 123,104 reports :  more than fatigue (73,526), nausea (63,593), or death (60,647). This means a significant portion of FAERS reports reflect regulatory and prescribing pattern issues rather than direct drug toxicity. AI models trained on FAERS must incorporate classifiers to distinguish true pharmacological signals from administrative noise.</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b/>
          <w:color w:val="C0392B"/>
          <w:spacing w:val="0"/>
          <w:position w:val="0"/>
          <w:sz w:val="22"/>
          <w:shd w:fill="auto" w:val="clear"/>
        </w:rPr>
        <w:t xml:space="preserve">Finding #2: </w:t>
      </w:r>
      <w:r>
        <w:rPr>
          <w:rFonts w:ascii="Arial" w:hAnsi="Arial" w:cs="Arial" w:eastAsia="Arial"/>
          <w:color w:val="333333"/>
          <w:spacing w:val="0"/>
          <w:position w:val="0"/>
          <w:sz w:val="22"/>
          <w:shd w:fill="auto" w:val="clear"/>
        </w:rPr>
        <w:t xml:space="preserve">"Death" appears as the #7 most reported reaction with 60,647 cases. Combined with life-threatening outcomes (54,308) and hospitalizations (336,991), over 37% of all documented outcomes involve death, life-threatening events, or hospitalization. Drug safety is not an academic exercise :  every undetected signal represents a human cost.</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b/>
          <w:color w:val="C0392B"/>
          <w:spacing w:val="0"/>
          <w:position w:val="0"/>
          <w:sz w:val="22"/>
          <w:shd w:fill="auto" w:val="clear"/>
        </w:rPr>
        <w:t xml:space="preserve">Finding #3: </w:t>
      </w:r>
      <w:r>
        <w:rPr>
          <w:rFonts w:ascii="Arial" w:hAnsi="Arial" w:cs="Arial" w:eastAsia="Arial"/>
          <w:color w:val="333333"/>
          <w:spacing w:val="0"/>
          <w:position w:val="0"/>
          <w:sz w:val="22"/>
          <w:shd w:fill="auto" w:val="clear"/>
        </w:rPr>
        <w:t xml:space="preserve">"Drug ineffective" ranks #2 with 93,038 reports :  a critical signal for AI-driven drug efficacy prediction. A drug that fails silently in a real-world population is a pharmacovigilance event, not just a clinical disappointment.</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4.3 Patient Demographics</w:t>
      </w:r>
    </w:p>
    <w:p>
      <w:pPr>
        <w:numPr>
          <w:ilvl w:val="0"/>
          <w:numId w:val="89"/>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Sex distribution: 65% female, 35% male across all reports</w:t>
      </w:r>
    </w:p>
    <w:p>
      <w:pPr>
        <w:numPr>
          <w:ilvl w:val="0"/>
          <w:numId w:val="89"/>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Age groups: Adults (1,352,607) and Elderly (917,924) represent 88% of reports</w:t>
      </w:r>
    </w:p>
    <w:p>
      <w:pPr>
        <w:numPr>
          <w:ilvl w:val="0"/>
          <w:numId w:val="89"/>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Quarterly distribution: Q3 2025 highest (2,148,314 reports), Q2 lowest (1,827,573)</w:t>
      </w:r>
    </w:p>
    <w:p>
      <w:pPr>
        <w:numPr>
          <w:ilvl w:val="0"/>
          <w:numId w:val="89"/>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Note: these figures are directly visualized in the dashboard below (sex donut, age groups bar, quarterly bar chart)</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E4D8C"/>
          <w:spacing w:val="0"/>
          <w:position w:val="0"/>
          <w:sz w:val="36"/>
          <w:shd w:fill="auto" w:val="clear"/>
        </w:rPr>
        <w:t xml:space="preserve">5. Signal Detection :  VEDOLIZUMAB Deep Dive</w:t>
      </w: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5.1 Methodology</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Disproportionality analysis was performed following EMA and FDA guidelines. Signal confirmation required all three criteria simultaneously:</w:t>
      </w:r>
    </w:p>
    <w:p>
      <w:pPr>
        <w:numPr>
          <w:ilvl w:val="0"/>
          <w:numId w:val="94"/>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PRR (Proportional Reporting Ratio) &gt;= 2</w:t>
      </w:r>
    </w:p>
    <w:p>
      <w:pPr>
        <w:numPr>
          <w:ilvl w:val="0"/>
          <w:numId w:val="94"/>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Chi-squared test &gt;= 4 (p &lt; 0.05 threshold)</w:t>
      </w:r>
    </w:p>
    <w:p>
      <w:pPr>
        <w:numPr>
          <w:ilvl w:val="0"/>
          <w:numId w:val="94"/>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ROR (Reporting Odds Ratio) lower 95% confidence interval &gt; 1</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For VEDOLIZUMAB (Entyvio :  indicated for Crohn's disease and ulcerative colitis): 518,529 drug-reaction pairs were analyzed, yielding 2,524 unique reactions tested and 716 confirmed signals (28.4% signal confirmation rate).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5.2 Top 10 Confirmed Signals</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scatter plot below (Fig. 5) displays all 2,524 reactions on log-log axes (PRR vs n). Confirmed signals (PRR</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 Chi²</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4, ROR IC95inf&gt;1) appear in red/warm colors above the dashed PRR=2 threshold. The 10 reactions with the highest PRR values are detailed in the table below.</w:t>
      </w:r>
    </w:p>
    <w:p>
      <w:pPr>
        <w:spacing w:before="240" w:after="120" w:line="240"/>
        <w:ind w:right="0" w:left="0" w:firstLine="0"/>
        <w:jc w:val="left"/>
        <w:rPr>
          <w:rFonts w:ascii="Arial" w:hAnsi="Arial" w:cs="Arial" w:eastAsia="Arial"/>
          <w:b/>
          <w:color w:val="1A1A2E"/>
          <w:spacing w:val="0"/>
          <w:position w:val="0"/>
          <w:sz w:val="24"/>
          <w:shd w:fill="auto" w:val="clear"/>
        </w:rPr>
      </w:pPr>
    </w:p>
    <w:tbl>
      <w:tblPr/>
      <w:tblGrid>
        <w:gridCol w:w="600"/>
        <w:gridCol w:w="3600"/>
        <w:gridCol w:w="900"/>
        <w:gridCol w:w="900"/>
        <w:gridCol w:w="900"/>
        <w:gridCol w:w="860"/>
      </w:tblGrid>
      <w:tr>
        <w:trPr>
          <w:trHeight w:val="1" w:hRule="atLeast"/>
          <w:jc w:val="left"/>
        </w:trPr>
        <w:tc>
          <w:tcPr>
            <w:tcW w:w="600" w:type="dxa"/>
            <w:tcBorders>
              <w:top w:val="single" w:color="cccccc" w:sz="1"/>
              <w:left w:val="single" w:color="cccccc" w:sz="1"/>
              <w:bottom w:val="single" w:color="cccccc" w:sz="1"/>
              <w:right w:val="single" w:color="cccccc" w:sz="1"/>
            </w:tcBorders>
            <w:shd w:color="000000" w:fill="1e4d8c"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w:t>
            </w:r>
          </w:p>
        </w:tc>
        <w:tc>
          <w:tcPr>
            <w:tcW w:w="3600" w:type="dxa"/>
            <w:tcBorders>
              <w:top w:val="single" w:color="cccccc" w:sz="1"/>
              <w:left w:val="single" w:color="cccccc" w:sz="1"/>
              <w:bottom w:val="single" w:color="cccccc" w:sz="1"/>
              <w:right w:val="single" w:color="cccccc" w:sz="1"/>
            </w:tcBorders>
            <w:shd w:color="000000" w:fill="1e4d8c"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Adverse Reaction</w:t>
            </w:r>
          </w:p>
        </w:tc>
        <w:tc>
          <w:tcPr>
            <w:tcW w:w="900" w:type="dxa"/>
            <w:tcBorders>
              <w:top w:val="single" w:color="cccccc" w:sz="1"/>
              <w:left w:val="single" w:color="cccccc" w:sz="1"/>
              <w:bottom w:val="single" w:color="cccccc" w:sz="1"/>
              <w:right w:val="single" w:color="cccccc" w:sz="1"/>
            </w:tcBorders>
            <w:shd w:color="000000" w:fill="1e4d8c"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n</w:t>
            </w:r>
          </w:p>
        </w:tc>
        <w:tc>
          <w:tcPr>
            <w:tcW w:w="900" w:type="dxa"/>
            <w:tcBorders>
              <w:top w:val="single" w:color="cccccc" w:sz="1"/>
              <w:left w:val="single" w:color="cccccc" w:sz="1"/>
              <w:bottom w:val="single" w:color="cccccc" w:sz="1"/>
              <w:right w:val="single" w:color="cccccc" w:sz="1"/>
            </w:tcBorders>
            <w:shd w:color="000000" w:fill="1e4d8c"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PRR</w:t>
            </w:r>
          </w:p>
        </w:tc>
        <w:tc>
          <w:tcPr>
            <w:tcW w:w="900" w:type="dxa"/>
            <w:tcBorders>
              <w:top w:val="single" w:color="cccccc" w:sz="1"/>
              <w:left w:val="single" w:color="cccccc" w:sz="1"/>
              <w:bottom w:val="single" w:color="cccccc" w:sz="1"/>
              <w:right w:val="single" w:color="cccccc" w:sz="1"/>
            </w:tcBorders>
            <w:shd w:color="000000" w:fill="1e4d8c"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ROR</w:t>
            </w:r>
          </w:p>
        </w:tc>
        <w:tc>
          <w:tcPr>
            <w:tcW w:w="860" w:type="dxa"/>
            <w:tcBorders>
              <w:top w:val="single" w:color="cccccc" w:sz="1"/>
              <w:left w:val="single" w:color="cccccc" w:sz="1"/>
              <w:bottom w:val="single" w:color="cccccc" w:sz="1"/>
              <w:right w:val="single" w:color="cccccc" w:sz="1"/>
            </w:tcBorders>
            <w:shd w:color="000000" w:fill="1e4d8c"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Chi2</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ef9e7" w:val="clear"/>
            <w:tcMar>
              <w:left w:w="100" w:type="dxa"/>
              <w:right w:w="100" w:type="dxa"/>
            </w:tcMar>
            <w:vAlign w:val="top"/>
          </w:tcPr>
          <w:p>
            <w:pPr>
              <w:spacing w:before="0" w:after="0" w:line="240"/>
              <w:ind w:right="0" w:left="0" w:firstLine="0"/>
              <w:jc w:val="center"/>
              <w:rPr>
                <w:spacing w:val="0"/>
                <w:position w:val="0"/>
                <w:sz w:val="22"/>
              </w:rPr>
            </w:pPr>
            <w:r>
              <w:rPr>
                <w:rFonts w:ascii="Arial" w:hAnsi="Arial" w:cs="Arial" w:eastAsia="Arial"/>
                <w:b/>
                <w:color w:val="C0392B"/>
                <w:spacing w:val="0"/>
                <w:position w:val="0"/>
                <w:sz w:val="22"/>
                <w:shd w:fill="auto" w:val="clear"/>
              </w:rPr>
              <w:t xml:space="preserve">1</w:t>
            </w:r>
          </w:p>
        </w:tc>
        <w:tc>
          <w:tcPr>
            <w:tcW w:w="3600" w:type="dxa"/>
            <w:tcBorders>
              <w:top w:val="single" w:color="cccccc" w:sz="1"/>
              <w:left w:val="single" w:color="cccccc" w:sz="1"/>
              <w:bottom w:val="single" w:color="cccccc" w:sz="1"/>
              <w:right w:val="single" w:color="cccccc" w:sz="1"/>
            </w:tcBorders>
            <w:shd w:color="000000" w:fill="fef9e7"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color w:val="333333"/>
                <w:spacing w:val="0"/>
                <w:position w:val="0"/>
                <w:sz w:val="20"/>
                <w:shd w:fill="auto" w:val="clear"/>
              </w:rPr>
              <w:t xml:space="preserve">Therapeutic reaction time decreased</w:t>
            </w:r>
          </w:p>
        </w:tc>
        <w:tc>
          <w:tcPr>
            <w:tcW w:w="900" w:type="dxa"/>
            <w:tcBorders>
              <w:top w:val="single" w:color="cccccc" w:sz="1"/>
              <w:left w:val="single" w:color="cccccc" w:sz="1"/>
              <w:bottom w:val="single" w:color="cccccc" w:sz="1"/>
              <w:right w:val="single" w:color="cccccc" w:sz="1"/>
            </w:tcBorders>
            <w:shd w:color="000000" w:fill="fef9e7"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7,473</w:t>
            </w:r>
          </w:p>
        </w:tc>
        <w:tc>
          <w:tcPr>
            <w:tcW w:w="900" w:type="dxa"/>
            <w:tcBorders>
              <w:top w:val="single" w:color="cccccc" w:sz="1"/>
              <w:left w:val="single" w:color="cccccc" w:sz="1"/>
              <w:bottom w:val="single" w:color="cccccc" w:sz="1"/>
              <w:right w:val="single" w:color="cccccc" w:sz="1"/>
            </w:tcBorders>
            <w:shd w:color="000000" w:fill="fef9e7"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C0392B"/>
                <w:spacing w:val="0"/>
                <w:position w:val="0"/>
                <w:sz w:val="20"/>
                <w:shd w:fill="auto" w:val="clear"/>
              </w:rPr>
              <w:t xml:space="preserve">594.5</w:t>
            </w:r>
          </w:p>
        </w:tc>
        <w:tc>
          <w:tcPr>
            <w:tcW w:w="900" w:type="dxa"/>
            <w:tcBorders>
              <w:top w:val="single" w:color="cccccc" w:sz="1"/>
              <w:left w:val="single" w:color="cccccc" w:sz="1"/>
              <w:bottom w:val="single" w:color="cccccc" w:sz="1"/>
              <w:right w:val="single" w:color="cccccc" w:sz="1"/>
            </w:tcBorders>
            <w:shd w:color="000000" w:fill="fef9e7"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603.2</w:t>
            </w:r>
          </w:p>
        </w:tc>
        <w:tc>
          <w:tcPr>
            <w:tcW w:w="860" w:type="dxa"/>
            <w:tcBorders>
              <w:top w:val="single" w:color="cccccc" w:sz="1"/>
              <w:left w:val="single" w:color="cccccc" w:sz="1"/>
              <w:bottom w:val="single" w:color="cccccc" w:sz="1"/>
              <w:right w:val="single" w:color="cccccc" w:sz="1"/>
            </w:tcBorders>
            <w:shd w:color="000000" w:fill="fef9e7"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88,311</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sz w:val="22"/>
              </w:rPr>
            </w:pPr>
            <w:r>
              <w:rPr>
                <w:rFonts w:ascii="Arial" w:hAnsi="Arial" w:cs="Arial" w:eastAsia="Arial"/>
                <w:color w:val="C0392B"/>
                <w:spacing w:val="0"/>
                <w:position w:val="0"/>
                <w:sz w:val="22"/>
                <w:shd w:fill="auto" w:val="clear"/>
              </w:rPr>
              <w:t xml:space="preserve">2</w:t>
            </w:r>
          </w:p>
        </w:tc>
        <w:tc>
          <w:tcPr>
            <w:tcW w:w="36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color w:val="333333"/>
                <w:spacing w:val="0"/>
                <w:position w:val="0"/>
                <w:sz w:val="20"/>
                <w:shd w:fill="auto" w:val="clear"/>
              </w:rPr>
              <w:t xml:space="preserve">Prenatal screening test abnormal</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32</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C0392B"/>
                <w:spacing w:val="0"/>
                <w:position w:val="0"/>
                <w:sz w:val="20"/>
                <w:shd w:fill="auto" w:val="clear"/>
              </w:rPr>
              <w:t xml:space="preserve">417.5</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417.5</w:t>
            </w:r>
          </w:p>
        </w:tc>
        <w:tc>
          <w:tcPr>
            <w:tcW w:w="86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374</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z w:val="22"/>
              </w:rPr>
            </w:pPr>
            <w:r>
              <w:rPr>
                <w:rFonts w:ascii="Arial" w:hAnsi="Arial" w:cs="Arial" w:eastAsia="Arial"/>
                <w:color w:val="C0392B"/>
                <w:spacing w:val="0"/>
                <w:position w:val="0"/>
                <w:sz w:val="22"/>
                <w:shd w:fill="auto" w:val="clear"/>
              </w:rPr>
              <w:t xml:space="preserve">3</w:t>
            </w:r>
          </w:p>
        </w:tc>
        <w:tc>
          <w:tcPr>
            <w:tcW w:w="3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color w:val="333333"/>
                <w:spacing w:val="0"/>
                <w:position w:val="0"/>
                <w:sz w:val="20"/>
                <w:shd w:fill="auto" w:val="clear"/>
              </w:rPr>
              <w:t xml:space="preserve">Cervix carcinoma stage I</w:t>
            </w:r>
          </w:p>
        </w:tc>
        <w:tc>
          <w:tcPr>
            <w:tcW w:w="9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19</w:t>
            </w:r>
          </w:p>
        </w:tc>
        <w:tc>
          <w:tcPr>
            <w:tcW w:w="9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C0392B"/>
                <w:spacing w:val="0"/>
                <w:position w:val="0"/>
                <w:sz w:val="20"/>
                <w:shd w:fill="auto" w:val="clear"/>
              </w:rPr>
              <w:t xml:space="preserve">247.9</w:t>
            </w:r>
          </w:p>
        </w:tc>
        <w:tc>
          <w:tcPr>
            <w:tcW w:w="9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247.9</w:t>
            </w:r>
          </w:p>
        </w:tc>
        <w:tc>
          <w:tcPr>
            <w:tcW w:w="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217</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sz w:val="22"/>
              </w:rPr>
            </w:pPr>
            <w:r>
              <w:rPr>
                <w:rFonts w:ascii="Arial" w:hAnsi="Arial" w:cs="Arial" w:eastAsia="Arial"/>
                <w:color w:val="C0392B"/>
                <w:spacing w:val="0"/>
                <w:position w:val="0"/>
                <w:sz w:val="22"/>
                <w:shd w:fill="auto" w:val="clear"/>
              </w:rPr>
              <w:t xml:space="preserve">4</w:t>
            </w:r>
          </w:p>
        </w:tc>
        <w:tc>
          <w:tcPr>
            <w:tcW w:w="36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color w:val="333333"/>
                <w:spacing w:val="0"/>
                <w:position w:val="0"/>
                <w:sz w:val="20"/>
                <w:shd w:fill="auto" w:val="clear"/>
              </w:rPr>
              <w:t xml:space="preserve">Vascular access site bruising</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92</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C0392B"/>
                <w:spacing w:val="0"/>
                <w:position w:val="0"/>
                <w:sz w:val="20"/>
                <w:shd w:fill="auto" w:val="clear"/>
              </w:rPr>
              <w:t xml:space="preserve">240.1</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240.1</w:t>
            </w:r>
          </w:p>
        </w:tc>
        <w:tc>
          <w:tcPr>
            <w:tcW w:w="86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1,049</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z w:val="22"/>
              </w:rPr>
            </w:pPr>
            <w:r>
              <w:rPr>
                <w:rFonts w:ascii="Arial" w:hAnsi="Arial" w:cs="Arial" w:eastAsia="Arial"/>
                <w:color w:val="C0392B"/>
                <w:spacing w:val="0"/>
                <w:position w:val="0"/>
                <w:sz w:val="22"/>
                <w:shd w:fill="auto" w:val="clear"/>
              </w:rPr>
              <w:t xml:space="preserve">5</w:t>
            </w:r>
          </w:p>
        </w:tc>
        <w:tc>
          <w:tcPr>
            <w:tcW w:w="3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color w:val="333333"/>
                <w:spacing w:val="0"/>
                <w:position w:val="0"/>
                <w:sz w:val="20"/>
                <w:shd w:fill="auto" w:val="clear"/>
              </w:rPr>
              <w:t xml:space="preserve">Cuffitis</w:t>
            </w:r>
          </w:p>
        </w:tc>
        <w:tc>
          <w:tcPr>
            <w:tcW w:w="9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48</w:t>
            </w:r>
          </w:p>
        </w:tc>
        <w:tc>
          <w:tcPr>
            <w:tcW w:w="9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C0392B"/>
                <w:spacing w:val="0"/>
                <w:position w:val="0"/>
                <w:sz w:val="20"/>
                <w:shd w:fill="auto" w:val="clear"/>
              </w:rPr>
              <w:t xml:space="preserve">208.7</w:t>
            </w:r>
          </w:p>
        </w:tc>
        <w:tc>
          <w:tcPr>
            <w:tcW w:w="9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208.8</w:t>
            </w:r>
          </w:p>
        </w:tc>
        <w:tc>
          <w:tcPr>
            <w:tcW w:w="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542</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sz w:val="22"/>
              </w:rPr>
            </w:pPr>
            <w:r>
              <w:rPr>
                <w:rFonts w:ascii="Arial" w:hAnsi="Arial" w:cs="Arial" w:eastAsia="Arial"/>
                <w:color w:val="C0392B"/>
                <w:spacing w:val="0"/>
                <w:position w:val="0"/>
                <w:sz w:val="22"/>
                <w:shd w:fill="auto" w:val="clear"/>
              </w:rPr>
              <w:t xml:space="preserve">6</w:t>
            </w:r>
          </w:p>
        </w:tc>
        <w:tc>
          <w:tcPr>
            <w:tcW w:w="36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color w:val="333333"/>
                <w:spacing w:val="0"/>
                <w:position w:val="0"/>
                <w:sz w:val="20"/>
                <w:shd w:fill="auto" w:val="clear"/>
              </w:rPr>
              <w:t xml:space="preserve">Hypoparathyroidism secondary</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16</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C0392B"/>
                <w:spacing w:val="0"/>
                <w:position w:val="0"/>
                <w:sz w:val="20"/>
                <w:shd w:fill="auto" w:val="clear"/>
              </w:rPr>
              <w:t xml:space="preserve">208.7</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208.7</w:t>
            </w:r>
          </w:p>
        </w:tc>
        <w:tc>
          <w:tcPr>
            <w:tcW w:w="86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181</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z w:val="22"/>
              </w:rPr>
            </w:pPr>
            <w:r>
              <w:rPr>
                <w:rFonts w:ascii="Arial" w:hAnsi="Arial" w:cs="Arial" w:eastAsia="Arial"/>
                <w:color w:val="C0392B"/>
                <w:spacing w:val="0"/>
                <w:position w:val="0"/>
                <w:sz w:val="22"/>
                <w:shd w:fill="auto" w:val="clear"/>
              </w:rPr>
              <w:t xml:space="preserve">7</w:t>
            </w:r>
          </w:p>
        </w:tc>
        <w:tc>
          <w:tcPr>
            <w:tcW w:w="3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color w:val="333333"/>
                <w:spacing w:val="0"/>
                <w:position w:val="0"/>
                <w:sz w:val="20"/>
                <w:shd w:fill="auto" w:val="clear"/>
              </w:rPr>
              <w:t xml:space="preserve">Testicular microlithiasis</w:t>
            </w:r>
          </w:p>
        </w:tc>
        <w:tc>
          <w:tcPr>
            <w:tcW w:w="9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26</w:t>
            </w:r>
          </w:p>
        </w:tc>
        <w:tc>
          <w:tcPr>
            <w:tcW w:w="9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C0392B"/>
                <w:spacing w:val="0"/>
                <w:position w:val="0"/>
                <w:sz w:val="20"/>
                <w:shd w:fill="auto" w:val="clear"/>
              </w:rPr>
              <w:t xml:space="preserve">169.6</w:t>
            </w:r>
          </w:p>
        </w:tc>
        <w:tc>
          <w:tcPr>
            <w:tcW w:w="9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169.6</w:t>
            </w:r>
          </w:p>
        </w:tc>
        <w:tc>
          <w:tcPr>
            <w:tcW w:w="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289</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sz w:val="22"/>
              </w:rPr>
            </w:pPr>
            <w:r>
              <w:rPr>
                <w:rFonts w:ascii="Arial" w:hAnsi="Arial" w:cs="Arial" w:eastAsia="Arial"/>
                <w:color w:val="C0392B"/>
                <w:spacing w:val="0"/>
                <w:position w:val="0"/>
                <w:sz w:val="22"/>
                <w:shd w:fill="auto" w:val="clear"/>
              </w:rPr>
              <w:t xml:space="preserve">8</w:t>
            </w:r>
          </w:p>
        </w:tc>
        <w:tc>
          <w:tcPr>
            <w:tcW w:w="36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color w:val="333333"/>
                <w:spacing w:val="0"/>
                <w:position w:val="0"/>
                <w:sz w:val="20"/>
                <w:shd w:fill="auto" w:val="clear"/>
              </w:rPr>
              <w:t xml:space="preserve">Intestinal transit time increased</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47</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C0392B"/>
                <w:spacing w:val="0"/>
                <w:position w:val="0"/>
                <w:sz w:val="20"/>
                <w:shd w:fill="auto" w:val="clear"/>
              </w:rPr>
              <w:t xml:space="preserve">153.3</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153.3</w:t>
            </w:r>
          </w:p>
        </w:tc>
        <w:tc>
          <w:tcPr>
            <w:tcW w:w="86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518</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sz w:val="22"/>
              </w:rPr>
            </w:pPr>
            <w:r>
              <w:rPr>
                <w:rFonts w:ascii="Arial" w:hAnsi="Arial" w:cs="Arial" w:eastAsia="Arial"/>
                <w:color w:val="C0392B"/>
                <w:spacing w:val="0"/>
                <w:position w:val="0"/>
                <w:sz w:val="22"/>
                <w:shd w:fill="auto" w:val="clear"/>
              </w:rPr>
              <w:t xml:space="preserve">9</w:t>
            </w:r>
          </w:p>
        </w:tc>
        <w:tc>
          <w:tcPr>
            <w:tcW w:w="3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color w:val="333333"/>
                <w:spacing w:val="0"/>
                <w:position w:val="0"/>
                <w:sz w:val="20"/>
                <w:shd w:fill="auto" w:val="clear"/>
              </w:rPr>
              <w:t xml:space="preserve">Anastomotic obstruction</w:t>
            </w:r>
          </w:p>
        </w:tc>
        <w:tc>
          <w:tcPr>
            <w:tcW w:w="9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10</w:t>
            </w:r>
          </w:p>
        </w:tc>
        <w:tc>
          <w:tcPr>
            <w:tcW w:w="9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C0392B"/>
                <w:spacing w:val="0"/>
                <w:position w:val="0"/>
                <w:sz w:val="20"/>
                <w:shd w:fill="auto" w:val="clear"/>
              </w:rPr>
              <w:t xml:space="preserve">130.5</w:t>
            </w:r>
          </w:p>
        </w:tc>
        <w:tc>
          <w:tcPr>
            <w:tcW w:w="9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130.5</w:t>
            </w:r>
          </w:p>
        </w:tc>
        <w:tc>
          <w:tcPr>
            <w:tcW w:w="8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108</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sz w:val="22"/>
              </w:rPr>
            </w:pPr>
            <w:r>
              <w:rPr>
                <w:rFonts w:ascii="Arial" w:hAnsi="Arial" w:cs="Arial" w:eastAsia="Arial"/>
                <w:color w:val="C0392B"/>
                <w:spacing w:val="0"/>
                <w:position w:val="0"/>
                <w:sz w:val="22"/>
                <w:shd w:fill="auto" w:val="clear"/>
              </w:rPr>
              <w:t xml:space="preserve">10</w:t>
            </w:r>
          </w:p>
        </w:tc>
        <w:tc>
          <w:tcPr>
            <w:tcW w:w="36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left"/>
              <w:rPr>
                <w:spacing w:val="0"/>
                <w:position w:val="0"/>
              </w:rPr>
            </w:pPr>
            <w:r>
              <w:rPr>
                <w:rFonts w:ascii="Arial" w:hAnsi="Arial" w:cs="Arial" w:eastAsia="Arial"/>
                <w:color w:val="333333"/>
                <w:spacing w:val="0"/>
                <w:position w:val="0"/>
                <w:sz w:val="20"/>
                <w:shd w:fill="auto" w:val="clear"/>
              </w:rPr>
              <w:t xml:space="preserve">GI anastomotic stenosis</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117</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C0392B"/>
                <w:spacing w:val="0"/>
                <w:position w:val="0"/>
                <w:sz w:val="20"/>
                <w:shd w:fill="auto" w:val="clear"/>
              </w:rPr>
              <w:t xml:space="preserve">76.3</w:t>
            </w:r>
          </w:p>
        </w:tc>
        <w:tc>
          <w:tcPr>
            <w:tcW w:w="90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76.3</w:t>
            </w:r>
          </w:p>
        </w:tc>
        <w:tc>
          <w:tcPr>
            <w:tcW w:w="860" w:type="dxa"/>
            <w:tcBorders>
              <w:top w:val="single" w:color="cccccc" w:sz="1"/>
              <w:left w:val="single" w:color="cccccc" w:sz="1"/>
              <w:bottom w:val="single" w:color="cccccc" w:sz="1"/>
              <w:right w:val="single" w:color="cccccc" w:sz="1"/>
            </w:tcBorders>
            <w:shd w:color="000000" w:fill="f8fbff" w:val="clear"/>
            <w:tcMar>
              <w:left w:w="100" w:type="dxa"/>
              <w:right w:w="100" w:type="dxa"/>
            </w:tcMar>
            <w:vAlign w:val="top"/>
          </w:tcPr>
          <w:p>
            <w:pPr>
              <w:spacing w:before="0" w:after="0" w:line="240"/>
              <w:ind w:right="0" w:left="0" w:firstLine="0"/>
              <w:jc w:val="center"/>
              <w:rPr>
                <w:spacing w:val="0"/>
                <w:position w:val="0"/>
              </w:rPr>
            </w:pPr>
            <w:r>
              <w:rPr>
                <w:rFonts w:ascii="Arial" w:hAnsi="Arial" w:cs="Arial" w:eastAsia="Arial"/>
                <w:color w:val="333333"/>
                <w:spacing w:val="0"/>
                <w:position w:val="0"/>
                <w:sz w:val="20"/>
                <w:shd w:fill="auto" w:val="clear"/>
              </w:rPr>
              <w:t xml:space="preserve">1,179</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5.3 Clinical Interpretation</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PRR 594.5 </w:t>
      </w:r>
      <w:r>
        <w:rPr>
          <w:rFonts w:ascii="Arial" w:hAnsi="Arial" w:cs="Arial" w:eastAsia="Arial"/>
          <w:b/>
          <w:color w:val="333333"/>
          <w:spacing w:val="0"/>
          <w:position w:val="0"/>
          <w:sz w:val="22"/>
          <w:shd w:fill="auto" w:val="clear"/>
        </w:rPr>
        <w:t xml:space="preserve">—</w:t>
      </w:r>
      <w:r>
        <w:rPr>
          <w:rFonts w:ascii="Arial" w:hAnsi="Arial" w:cs="Arial" w:eastAsia="Arial"/>
          <w:b/>
          <w:color w:val="333333"/>
          <w:spacing w:val="0"/>
          <w:position w:val="0"/>
          <w:sz w:val="22"/>
          <w:shd w:fill="auto" w:val="clear"/>
        </w:rPr>
        <w:t xml:space="preserve"> Therapeutic reaction time decreased (n=7,473): </w:t>
      </w:r>
      <w:r>
        <w:rPr>
          <w:rFonts w:ascii="Arial" w:hAnsi="Arial" w:cs="Arial" w:eastAsia="Arial"/>
          <w:color w:val="333333"/>
          <w:spacing w:val="0"/>
          <w:position w:val="0"/>
          <w:sz w:val="22"/>
          <w:shd w:fill="auto" w:val="clear"/>
        </w:rPr>
        <w:t xml:space="preserve">The dominant signal likely reflects structured clinical trial reporting patterns specific to VEDOLIZUMAB. The very high n and PRR suggest a drug-specific reporting convention rather than an unexpected safety finding.</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PRR 208.7 </w:t>
      </w:r>
      <w:r>
        <w:rPr>
          <w:rFonts w:ascii="Arial" w:hAnsi="Arial" w:cs="Arial" w:eastAsia="Arial"/>
          <w:b/>
          <w:color w:val="333333"/>
          <w:spacing w:val="0"/>
          <w:position w:val="0"/>
          <w:sz w:val="22"/>
          <w:shd w:fill="auto" w:val="clear"/>
        </w:rPr>
        <w:t xml:space="preserve">—</w:t>
      </w:r>
      <w:r>
        <w:rPr>
          <w:rFonts w:ascii="Arial" w:hAnsi="Arial" w:cs="Arial" w:eastAsia="Arial"/>
          <w:b/>
          <w:color w:val="333333"/>
          <w:spacing w:val="0"/>
          <w:position w:val="0"/>
          <w:sz w:val="22"/>
          <w:shd w:fill="auto" w:val="clear"/>
        </w:rPr>
        <w:t xml:space="preserve"> Cuffitis (n=48): </w:t>
      </w:r>
      <w:r>
        <w:rPr>
          <w:rFonts w:ascii="Arial" w:hAnsi="Arial" w:cs="Arial" w:eastAsia="Arial"/>
          <w:color w:val="333333"/>
          <w:spacing w:val="0"/>
          <w:position w:val="0"/>
          <w:sz w:val="22"/>
          <w:shd w:fill="auto" w:val="clear"/>
        </w:rPr>
        <w:t xml:space="preserve">Inflammation of the ileal pouch-anal anastomosis remnant in post-colectomy patients. Biologically coherent with VEDOLIZUMAB's indication for ulcerative colitis in post-surgical IBD patients.</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PRR 76.3 </w:t>
      </w:r>
      <w:r>
        <w:rPr>
          <w:rFonts w:ascii="Arial" w:hAnsi="Arial" w:cs="Arial" w:eastAsia="Arial"/>
          <w:b/>
          <w:color w:val="333333"/>
          <w:spacing w:val="0"/>
          <w:position w:val="0"/>
          <w:sz w:val="22"/>
          <w:shd w:fill="auto" w:val="clear"/>
        </w:rPr>
        <w:t xml:space="preserve">—</w:t>
      </w:r>
      <w:r>
        <w:rPr>
          <w:rFonts w:ascii="Arial" w:hAnsi="Arial" w:cs="Arial" w:eastAsia="Arial"/>
          <w:b/>
          <w:color w:val="333333"/>
          <w:spacing w:val="0"/>
          <w:position w:val="0"/>
          <w:sz w:val="22"/>
          <w:shd w:fill="auto" w:val="clear"/>
        </w:rPr>
        <w:t xml:space="preserve"> GI anastomotic stenosis (n=117): </w:t>
      </w:r>
      <w:r>
        <w:rPr>
          <w:rFonts w:ascii="Arial" w:hAnsi="Arial" w:cs="Arial" w:eastAsia="Arial"/>
          <w:color w:val="333333"/>
          <w:spacing w:val="0"/>
          <w:position w:val="0"/>
          <w:sz w:val="22"/>
          <w:shd w:fill="auto" w:val="clear"/>
        </w:rPr>
        <w:t xml:space="preserve">The highest n among robust signals. A post-surgical complication in Crohn's patients with intestinal resections,  this signal warrants prospective monitoring in surgical IBD cohorts.</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b/>
          <w:color w:val="333333"/>
          <w:spacing w:val="0"/>
          <w:position w:val="0"/>
          <w:sz w:val="22"/>
          <w:shd w:fill="auto" w:val="clear"/>
        </w:rPr>
        <w:t xml:space="preserve">PRR 88.1 </w:t>
      </w:r>
      <w:r>
        <w:rPr>
          <w:rFonts w:ascii="Arial" w:hAnsi="Arial" w:cs="Arial" w:eastAsia="Arial"/>
          <w:b/>
          <w:color w:val="333333"/>
          <w:spacing w:val="0"/>
          <w:position w:val="0"/>
          <w:sz w:val="22"/>
          <w:shd w:fill="auto" w:val="clear"/>
        </w:rPr>
        <w:t xml:space="preserve">—</w:t>
      </w:r>
      <w:r>
        <w:rPr>
          <w:rFonts w:ascii="Arial" w:hAnsi="Arial" w:cs="Arial" w:eastAsia="Arial"/>
          <w:b/>
          <w:color w:val="333333"/>
          <w:spacing w:val="0"/>
          <w:position w:val="0"/>
          <w:sz w:val="22"/>
          <w:shd w:fill="auto" w:val="clear"/>
        </w:rPr>
        <w:t xml:space="preserve"> Colorectal cancer stage III (n=27): </w:t>
      </w:r>
      <w:r>
        <w:rPr>
          <w:rFonts w:ascii="Arial" w:hAnsi="Arial" w:cs="Arial" w:eastAsia="Arial"/>
          <w:color w:val="333333"/>
          <w:spacing w:val="0"/>
          <w:position w:val="0"/>
          <w:sz w:val="22"/>
          <w:shd w:fill="auto" w:val="clear"/>
        </w:rPr>
        <w:t xml:space="preserve">Requires careful interpretation. Signal may reflect surveillance bias,  IBD patients undergo more frequent colonoscopies,  rather than direct drug causality. A classic example of confounding by indication in pharmacovigilance.</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i/>
          <w:color w:val="888888"/>
          <w:spacing w:val="0"/>
          <w:position w:val="0"/>
          <w:sz w:val="22"/>
          <w:shd w:fill="auto" w:val="clear"/>
        </w:rPr>
        <w:t xml:space="preserve">Important disclaimer: All signals identified through disproportionality analysis require prospective clinical validation before any safety conclusions can be drawn. PRR and ROR are screening tools, not proof of causality.</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color w:val="333333"/>
          <w:spacing w:val="0"/>
          <w:position w:val="0"/>
          <w:sz w:val="22"/>
          <w:shd w:fill="auto" w:val="clear"/>
        </w:rPr>
      </w:pPr>
      <w:r>
        <w:rPr>
          <w:rFonts w:ascii="Arial" w:hAnsi="Arial" w:cs="Arial" w:eastAsia="Arial"/>
          <w:b/>
          <w:color w:val="1E4D8C"/>
          <w:spacing w:val="0"/>
          <w:position w:val="0"/>
          <w:sz w:val="36"/>
          <w:shd w:fill="auto" w:val="clear"/>
        </w:rPr>
        <w:t xml:space="preserve">6. AI for Predictive Drug Safety:  The Frontier</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The pipeline described above is retrospective: it detects signals after patients have already been exposed. The real frontier is predictive pharmacovigilance,  assessing individual drug risk before the prescription is written.</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color w:val="333333"/>
          <w:spacing w:val="0"/>
          <w:position w:val="0"/>
          <w:sz w:val="22"/>
          <w:shd w:fill="auto" w:val="clear"/>
        </w:rPr>
      </w:pPr>
      <w:r>
        <w:rPr>
          <w:rFonts w:ascii="Arial" w:hAnsi="Arial" w:cs="Arial" w:eastAsia="Arial"/>
          <w:b/>
          <w:color w:val="1A1A2E"/>
          <w:spacing w:val="0"/>
          <w:position w:val="0"/>
          <w:sz w:val="24"/>
          <w:shd w:fill="auto" w:val="clear"/>
        </w:rPr>
        <w:t xml:space="preserve">6.1 AI-Driven Adverse Drug Reaction Prediction</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Machine learning models (XGBoost, Random Forest, Transformer-based architectures) trained on patient demographics, comorbidities, polypharmacy profiles, and drug molecular structure (SMILES representations processed through Graph Neural Networks) can generate individual ADR probability estimates before drug initiation. This is the core of precision pharmacovigilance.</w:t>
      </w:r>
    </w:p>
    <w:p>
      <w:pPr>
        <w:spacing w:before="240" w:after="120" w:line="240"/>
        <w:ind w:right="0" w:left="0" w:firstLine="0"/>
        <w:jc w:val="left"/>
        <w:rPr>
          <w:rFonts w:ascii="Arial" w:hAnsi="Arial" w:cs="Arial" w:eastAsia="Arial"/>
          <w:color w:val="333333"/>
          <w:spacing w:val="0"/>
          <w:position w:val="0"/>
          <w:sz w:val="22"/>
          <w:shd w:fill="auto" w:val="clear"/>
        </w:rPr>
      </w:pPr>
      <w:r>
        <w:rPr>
          <w:rFonts w:ascii="Arial" w:hAnsi="Arial" w:cs="Arial" w:eastAsia="Arial"/>
          <w:b/>
          <w:color w:val="1A1A2E"/>
          <w:spacing w:val="0"/>
          <w:position w:val="0"/>
          <w:sz w:val="24"/>
          <w:shd w:fill="auto" w:val="clear"/>
        </w:rPr>
        <w:t xml:space="preserve">6.2 Pharmacogenomics :  Patient-Specific Drug Response</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CYP450 enzyme variants, HLA alleles, and drug transporter polymorphisms all modulate individual drug metabolism and response. Integrating pharmacogenomic data with FAERS-derived signals enables population-level safety stratification. The HLA-B*57:01,  abacavir hypersensitivity association is a landmark example of AI pharmacogenomics already saving lives in clinical practice.</w:t>
      </w:r>
    </w:p>
    <w:p>
      <w:pPr>
        <w:spacing w:before="240" w:after="120" w:line="240"/>
        <w:ind w:right="0" w:left="0" w:firstLine="0"/>
        <w:jc w:val="left"/>
        <w:rPr>
          <w:rFonts w:ascii="Arial" w:hAnsi="Arial" w:cs="Arial" w:eastAsia="Arial"/>
          <w:color w:val="333333"/>
          <w:spacing w:val="0"/>
          <w:position w:val="0"/>
          <w:sz w:val="22"/>
          <w:shd w:fill="auto" w:val="clear"/>
        </w:rPr>
      </w:pPr>
      <w:r>
        <w:rPr>
          <w:rFonts w:ascii="Arial" w:hAnsi="Arial" w:cs="Arial" w:eastAsia="Arial"/>
          <w:b/>
          <w:color w:val="1A1A2E"/>
          <w:spacing w:val="0"/>
          <w:position w:val="0"/>
          <w:sz w:val="24"/>
          <w:shd w:fill="auto" w:val="clear"/>
        </w:rPr>
        <w:t xml:space="preserve">6.3 Real-Time Signal Amplification</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Bayesian Confidence Propagation Neural Networks (BCPNN) and Multi-item Gamma Poisson Shrinker (MGPS) models detect pharmacovigilance signals 6 to 18 months earlier than classical PRR/ROR methods, with far fewer required cases. Combined with streaming data pipelines (Apache Kafka + Spark Streaming), this architecture enables real-time pharmacovigilance surveillance at the national level.</w:t>
      </w:r>
    </w:p>
    <w:p>
      <w:pPr>
        <w:spacing w:before="240" w:after="120" w:line="240"/>
        <w:ind w:right="0" w:left="0" w:firstLine="0"/>
        <w:jc w:val="left"/>
        <w:rPr>
          <w:rFonts w:ascii="Arial" w:hAnsi="Arial" w:cs="Arial" w:eastAsia="Arial"/>
          <w:color w:val="333333"/>
          <w:spacing w:val="0"/>
          <w:position w:val="0"/>
          <w:sz w:val="22"/>
          <w:shd w:fill="auto" w:val="clear"/>
        </w:rPr>
      </w:pPr>
      <w:r>
        <w:rPr>
          <w:rFonts w:ascii="Arial" w:hAnsi="Arial" w:cs="Arial" w:eastAsia="Arial"/>
          <w:b/>
          <w:color w:val="1A1A2E"/>
          <w:spacing w:val="0"/>
          <w:position w:val="0"/>
          <w:sz w:val="24"/>
          <w:shd w:fill="auto" w:val="clear"/>
        </w:rPr>
        <w:t xml:space="preserve">6.4 NLP on Electronic Health Records</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Fewer than 10% of adverse drug reactions are formally reported to FAERS (FDA estimate). The remaining 90% are buried in EHR free text, discharge summaries, and clinical notes. Transformer-based NLP models (BioBERT, ClinicalBERT, Med-PaLM) can surface these hidden signals from unstructured clinical text at scale,  dramatically expanding the evidence base for drug safety decisions.</w:t>
      </w:r>
    </w:p>
    <w:p>
      <w:pPr>
        <w:spacing w:before="240" w:after="120" w:line="240"/>
        <w:ind w:right="0" w:left="0" w:firstLine="0"/>
        <w:jc w:val="left"/>
        <w:rPr>
          <w:rFonts w:ascii="Arial" w:hAnsi="Arial" w:cs="Arial" w:eastAsia="Arial"/>
          <w:color w:val="333333"/>
          <w:spacing w:val="0"/>
          <w:position w:val="0"/>
          <w:sz w:val="22"/>
          <w:shd w:fill="auto" w:val="clear"/>
        </w:rPr>
      </w:pPr>
      <w:r>
        <w:rPr>
          <w:rFonts w:ascii="Arial" w:hAnsi="Arial" w:cs="Arial" w:eastAsia="Arial"/>
          <w:b/>
          <w:color w:val="1A1A2E"/>
          <w:spacing w:val="0"/>
          <w:position w:val="0"/>
          <w:sz w:val="24"/>
          <w:shd w:fill="auto" w:val="clear"/>
        </w:rPr>
        <w:t xml:space="preserve">6.5 Drug-Drug Interaction Prediction via Graph Neural Networks</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Molecular interaction graphs model pharmacokinetic and pharmacodynamic conflicts at scale. GNN-based models predict dangerous drug combinations before clinical trials, reducing late-stage failure rates and accelerating safe drug development pipelines.</w:t>
      </w:r>
    </w:p>
    <w:p>
      <w:pPr>
        <w:spacing w:before="240" w:after="120" w:line="240"/>
        <w:ind w:right="0" w:left="0" w:firstLine="0"/>
        <w:jc w:val="left"/>
        <w:rPr>
          <w:rFonts w:ascii="Arial" w:hAnsi="Arial" w:cs="Arial" w:eastAsia="Arial"/>
          <w:color w:val="333333"/>
          <w:spacing w:val="0"/>
          <w:position w:val="0"/>
          <w:sz w:val="22"/>
          <w:shd w:fill="auto" w:val="clear"/>
        </w:rPr>
      </w:pPr>
      <w:r>
        <w:rPr>
          <w:rFonts w:ascii="Arial" w:hAnsi="Arial" w:cs="Arial" w:eastAsia="Arial"/>
          <w:b/>
          <w:color w:val="1A1A2E"/>
          <w:spacing w:val="0"/>
          <w:position w:val="0"/>
          <w:sz w:val="24"/>
          <w:shd w:fill="auto" w:val="clear"/>
        </w:rPr>
        <w:t xml:space="preserve">6.6 AI for Tumor Microenvironment and Immunotherapy Response</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Integrating genomics, histopathology imaging, and clinical data through multi-modal deep learning architectures enables prediction of immunotherapy response,  determining which patients will benefit from anti-PD1/PDL1 checkpoint inhibitors before treatment initiation. This represents the convergence of pharmacovigilance, oncology, and precision medicine.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color w:val="333333"/>
          <w:spacing w:val="0"/>
          <w:position w:val="0"/>
          <w:sz w:val="22"/>
          <w:shd w:fill="auto" w:val="clear"/>
        </w:rPr>
      </w:pPr>
      <w:r>
        <w:rPr>
          <w:rFonts w:ascii="Arial" w:hAnsi="Arial" w:cs="Arial" w:eastAsia="Arial"/>
          <w:b/>
          <w:color w:val="1E4D8C"/>
          <w:spacing w:val="0"/>
          <w:position w:val="0"/>
          <w:sz w:val="36"/>
          <w:shd w:fill="auto" w:val="clear"/>
        </w:rPr>
        <w:t xml:space="preserve">7. Opportunities for Collaboration</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This work opens the door to research collaborations at the intersection of Big Data, AI, and clinical pharmacology. I am actively interested in connecting with researchers, clinicians, and data scientists working on:</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AI &amp; Clinical Pharmacology</w:t>
      </w:r>
    </w:p>
    <w:p>
      <w:pPr>
        <w:numPr>
          <w:ilvl w:val="0"/>
          <w:numId w:val="179"/>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AI-driven drug discovery and repurposing</w:t>
      </w:r>
    </w:p>
    <w:p>
      <w:pPr>
        <w:numPr>
          <w:ilvl w:val="0"/>
          <w:numId w:val="179"/>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Predictive modeling of drug efficacy using deep learning</w:t>
      </w:r>
    </w:p>
    <w:p>
      <w:pPr>
        <w:numPr>
          <w:ilvl w:val="0"/>
          <w:numId w:val="179"/>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Adverse drug reaction prediction with AI</w:t>
      </w:r>
    </w:p>
    <w:p>
      <w:pPr>
        <w:numPr>
          <w:ilvl w:val="0"/>
          <w:numId w:val="179"/>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Pharmacogenomics: AI for predicting patient-specific drug response</w:t>
      </w:r>
    </w:p>
    <w:p>
      <w:pPr>
        <w:numPr>
          <w:ilvl w:val="0"/>
          <w:numId w:val="179"/>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AI-guided dose optimization and therapeutic monitoring</w:t>
      </w:r>
    </w:p>
    <w:p>
      <w:pPr>
        <w:numPr>
          <w:ilvl w:val="0"/>
          <w:numId w:val="179"/>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Machine learning in drug metabolism and toxicity prediction</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AI &amp; Oncology / Precision Medicine</w:t>
      </w:r>
    </w:p>
    <w:p>
      <w:pPr>
        <w:numPr>
          <w:ilvl w:val="0"/>
          <w:numId w:val="182"/>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AI for predicting tumor microenvironment and immunotherapy response</w:t>
      </w:r>
    </w:p>
    <w:p>
      <w:pPr>
        <w:numPr>
          <w:ilvl w:val="0"/>
          <w:numId w:val="182"/>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Integrating genomics, imaging, and clinical data for personalized oncology</w:t>
      </w:r>
    </w:p>
    <w:p>
      <w:pPr>
        <w:numPr>
          <w:ilvl w:val="0"/>
          <w:numId w:val="182"/>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Biomarker discovery from multi-omics Big Data</w:t>
      </w:r>
    </w:p>
    <w:p>
      <w:pPr>
        <w:numPr>
          <w:ilvl w:val="0"/>
          <w:numId w:val="182"/>
        </w:numPr>
        <w:spacing w:before="40" w:after="40" w:line="300"/>
        <w:ind w:right="0" w:left="720" w:hanging="36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AI-guided patient stratification in clinical trials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E4D8C"/>
          <w:spacing w:val="0"/>
          <w:position w:val="0"/>
          <w:sz w:val="36"/>
          <w:shd w:fill="auto" w:val="clear"/>
        </w:rPr>
        <w:t xml:space="preserve">8. Certification &amp; Technical Stack</w:t>
      </w:r>
    </w:p>
    <w:p>
      <w:pPr>
        <w:spacing w:before="240" w:after="12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1A1A2E"/>
          <w:spacing w:val="0"/>
          <w:position w:val="0"/>
          <w:sz w:val="24"/>
          <w:shd w:fill="auto" w:val="clear"/>
        </w:rPr>
        <w:t xml:space="preserve">UC San Diego :  Big Data </w:t>
      </w:r>
    </w:p>
    <w:p>
      <w:pPr>
        <w:spacing w:before="80" w:after="120" w:line="320"/>
        <w:ind w:right="0" w:left="0" w:firstLine="0"/>
        <w:jc w:val="left"/>
        <w:rPr>
          <w:rFonts w:ascii="Arial" w:hAnsi="Arial" w:cs="Arial" w:eastAsia="Arial"/>
          <w:color w:val="333333"/>
          <w:spacing w:val="0"/>
          <w:position w:val="0"/>
          <w:sz w:val="22"/>
          <w:shd w:fill="auto" w:val="clear"/>
        </w:rPr>
      </w:pPr>
      <w:r>
        <w:rPr>
          <w:rFonts w:ascii="Arial" w:hAnsi="Arial" w:cs="Arial" w:eastAsia="Arial"/>
          <w:color w:val="333333"/>
          <w:spacing w:val="0"/>
          <w:position w:val="0"/>
          <w:sz w:val="22"/>
          <w:shd w:fill="auto" w:val="clear"/>
        </w:rPr>
        <w:t xml:space="preserve">This project was completed as a direct application of the Big Data concepts from my certification at UC San Diego, taught by Ilkay Altintas (Chief Data Science Officer) , </w:t>
      </w:r>
      <w:r>
        <w:rPr>
          <w:rFonts w:ascii="Arial" w:hAnsi="Arial" w:cs="Arial" w:eastAsia="Arial"/>
          <w:color w:val="auto"/>
          <w:spacing w:val="0"/>
          <w:position w:val="0"/>
          <w:sz w:val="22"/>
          <w:shd w:fill="auto" w:val="clear"/>
        </w:rPr>
        <w:t xml:space="preserve">A. Gupta (Research Scientist), San Diego, </w:t>
      </w:r>
      <w:r>
        <w:rPr>
          <w:rFonts w:ascii="Arial" w:hAnsi="Arial" w:cs="Arial" w:eastAsia="Arial"/>
          <w:color w:val="333333"/>
          <w:spacing w:val="0"/>
          <w:position w:val="0"/>
          <w:sz w:val="22"/>
          <w:shd w:fill="auto" w:val="clear"/>
        </w:rPr>
        <w:t xml:space="preserve">Certificate verification: </w:t>
      </w:r>
    </w:p>
    <w:p>
      <w:pPr>
        <w:spacing w:before="80" w:after="120" w:line="320"/>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0">
        <w:r>
          <w:rPr>
            <w:rFonts w:ascii="Arial" w:hAnsi="Arial" w:cs="Arial" w:eastAsia="Arial"/>
            <w:color w:val="0000FF"/>
            <w:spacing w:val="0"/>
            <w:position w:val="0"/>
            <w:sz w:val="22"/>
            <w:u w:val="single"/>
            <w:shd w:fill="auto" w:val="clear"/>
          </w:rPr>
          <w:t xml:space="preserve">https://coursera.org/verify/NQB43MY3ZK7L</w:t>
        </w:r>
      </w:hyperlink>
    </w:p>
    <w:p>
      <w:pPr>
        <w:spacing w:before="80" w:after="120" w:line="320"/>
        <w:ind w:right="0" w:left="0" w:firstLine="0"/>
        <w:jc w:val="left"/>
        <w:rPr>
          <w:rFonts w:ascii="Arial" w:hAnsi="Arial" w:cs="Arial" w:eastAsia="Arial"/>
          <w:color w:val="auto"/>
          <w:spacing w:val="0"/>
          <w:position w:val="0"/>
          <w:sz w:val="22"/>
          <w:shd w:fill="auto" w:val="clear"/>
        </w:rPr>
      </w:pP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77B5"/>
          <w:spacing w:val="0"/>
          <w:position w:val="0"/>
          <w:sz w:val="26"/>
          <w:u w:val="single"/>
          <w:shd w:fill="auto" w:val="clear"/>
        </w:rPr>
        <w:t xml:space="preserve">Figure 1 </w:t>
      </w:r>
      <w:r>
        <w:rPr>
          <w:rFonts w:ascii="Arial" w:hAnsi="Arial" w:cs="Arial" w:eastAsia="Arial"/>
          <w:b/>
          <w:color w:val="0077B5"/>
          <w:spacing w:val="0"/>
          <w:position w:val="0"/>
          <w:sz w:val="26"/>
          <w:u w:val="single"/>
          <w:shd w:fill="auto" w:val="clear"/>
        </w:rPr>
        <w:t xml:space="preserve">—</w:t>
      </w:r>
      <w:r>
        <w:rPr>
          <w:rFonts w:ascii="Arial" w:hAnsi="Arial" w:cs="Arial" w:eastAsia="Arial"/>
          <w:b/>
          <w:color w:val="0077B5"/>
          <w:spacing w:val="0"/>
          <w:position w:val="0"/>
          <w:sz w:val="26"/>
          <w:u w:val="single"/>
          <w:shd w:fill="auto" w:val="clear"/>
        </w:rPr>
        <w:t xml:space="preserve"> The Reactive Pharmacovigilance Problem</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Current pharmacovigilance is reactive: adverse drug reactions are detected only after thousands of patients have already been exposed. The standard signal detection timeline,  drug exposure, accumulation of reports, PRR/ROR significance threshold crossed, then regulatory action, creates a 6 to 24-month gap during which harm continues undetected.</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figure contextualizes the core problem that AI aims to solve: replacing the 'Exposure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Signal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Regulatory action' cascade with a predictive model that assesses risk before the first prescription.</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r>
        <w:object w:dxaOrig="6175" w:dyaOrig="3441">
          <v:rect xmlns:o="urn:schemas-microsoft-com:office:office" xmlns:v="urn:schemas-microsoft-com:vml" id="rectole0000000000" style="width:308.750000pt;height:172.0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0077B5"/>
          <w:spacing w:val="0"/>
          <w:position w:val="0"/>
          <w:sz w:val="26"/>
          <w:u w:val="single"/>
          <w:shd w:fill="auto" w:val="clear"/>
        </w:rPr>
        <w:t xml:space="preserve">Figure 2 </w:t>
      </w:r>
      <w:r>
        <w:rPr>
          <w:rFonts w:ascii="Arial" w:hAnsi="Arial" w:cs="Arial" w:eastAsia="Arial"/>
          <w:b/>
          <w:color w:val="0077B5"/>
          <w:spacing w:val="0"/>
          <w:position w:val="0"/>
          <w:sz w:val="26"/>
          <w:u w:val="single"/>
          <w:shd w:fill="auto" w:val="clear"/>
        </w:rPr>
        <w:t xml:space="preserve">—</w:t>
      </w:r>
      <w:r>
        <w:rPr>
          <w:rFonts w:ascii="Arial" w:hAnsi="Arial" w:cs="Arial" w:eastAsia="Arial"/>
          <w:b/>
          <w:color w:val="0077B5"/>
          <w:spacing w:val="0"/>
          <w:position w:val="0"/>
          <w:sz w:val="26"/>
          <w:u w:val="single"/>
          <w:shd w:fill="auto" w:val="clear"/>
        </w:rPr>
        <w:t xml:space="preserve"> Data Pipeline &amp; Scope</w:t>
      </w:r>
    </w:p>
    <w:p>
      <w:pPr>
        <w:spacing w:before="60" w:after="60" w:line="240"/>
        <w:ind w:right="0" w:left="0" w:firstLine="0"/>
        <w:jc w:val="left"/>
        <w:rPr>
          <w:rFonts w:ascii="Arial" w:hAnsi="Arial" w:cs="Arial" w:eastAsia="Arial"/>
          <w:color w:val="1A1A2E"/>
          <w:spacing w:val="0"/>
          <w:position w:val="0"/>
          <w:sz w:val="24"/>
          <w:shd w:fill="auto" w:val="clear"/>
        </w:rPr>
      </w:pP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28 million FAERS records across 7 relational tables (DEMO, DRUG, REAC, OUTC, INDI, THER, RPSR), processed with Python, NLP, and disproportionality metrics on Google Colab Pro+ (54 GB RAM).</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pipeline flows from 4 quarterly ZIP files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ASCII extraction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slim column loading (load_slim)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deduplication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3-table merge architecture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NLP clustering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PRR/ROR signal detection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Plotly visualizations. Peak RAM: ~5 GB.</w:t>
      </w:r>
    </w:p>
    <w:p>
      <w:pPr>
        <w:spacing w:before="60" w:after="60" w:line="240"/>
        <w:ind w:right="0" w:left="0" w:firstLine="0"/>
        <w:jc w:val="left"/>
        <w:rPr>
          <w:rFonts w:ascii="Arial" w:hAnsi="Arial" w:cs="Arial" w:eastAsia="Arial"/>
          <w:b/>
          <w:color w:val="1A1A2E"/>
          <w:spacing w:val="0"/>
          <w:position w:val="0"/>
          <w:sz w:val="24"/>
          <w:shd w:fill="auto" w:val="clear"/>
        </w:rPr>
      </w:pPr>
      <w:r>
        <w:object w:dxaOrig="8078" w:dyaOrig="5062">
          <v:rect xmlns:o="urn:schemas-microsoft-com:office:office" xmlns:v="urn:schemas-microsoft-com:vml" id="rectole0000000001" style="width:403.900000pt;height:253.1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60" w:after="60" w:line="240"/>
        <w:ind w:right="0" w:left="0" w:firstLine="0"/>
        <w:jc w:val="left"/>
        <w:rPr>
          <w:rFonts w:ascii="Arial" w:hAnsi="Arial" w:cs="Arial" w:eastAsia="Arial"/>
          <w:b/>
          <w:color w:val="1A1A2E"/>
          <w:spacing w:val="0"/>
          <w:position w:val="0"/>
          <w:sz w:val="24"/>
          <w:shd w:fill="auto" w:val="clear"/>
        </w:rPr>
      </w:pPr>
    </w:p>
    <w:p>
      <w:pPr>
        <w:spacing w:before="60" w:after="6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0077B5"/>
          <w:spacing w:val="0"/>
          <w:position w:val="0"/>
          <w:sz w:val="26"/>
          <w:u w:val="single"/>
          <w:shd w:fill="auto" w:val="clear"/>
        </w:rPr>
        <w:t xml:space="preserve">Figure 3 </w:t>
      </w:r>
      <w:r>
        <w:rPr>
          <w:rFonts w:ascii="Arial" w:hAnsi="Arial" w:cs="Arial" w:eastAsia="Arial"/>
          <w:b/>
          <w:color w:val="0077B5"/>
          <w:spacing w:val="0"/>
          <w:position w:val="0"/>
          <w:sz w:val="26"/>
          <w:u w:val="single"/>
          <w:shd w:fill="auto" w:val="clear"/>
        </w:rPr>
        <w:t xml:space="preserve">—</w:t>
      </w:r>
      <w:r>
        <w:rPr>
          <w:rFonts w:ascii="Arial" w:hAnsi="Arial" w:cs="Arial" w:eastAsia="Arial"/>
          <w:b/>
          <w:color w:val="0077B5"/>
          <w:spacing w:val="0"/>
          <w:position w:val="0"/>
          <w:sz w:val="26"/>
          <w:u w:val="single"/>
          <w:shd w:fill="auto" w:val="clear"/>
        </w:rPr>
        <w:t xml:space="preserve"> Key Signal Findings: VEDOLIZUMAB</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716 confirmed safety signals identified for VEDOLIZUMAB out of 2,524 reactions tested (28.4% confirmation rate), with PRR reaching 594x above background rate for 'Therapeutic reaction time decreased' (n=7,473).</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scatter plot (Fig. 5) displays all reactions on log-log axes (PRR vs n). Points above the PRR=2 dashed line and colored in red/warm tones represent confirmed signals meeting all 3 EMA/FDA criteria. The top 10 signals by PRR are detailed in Section 5.2.</w:t>
      </w:r>
    </w:p>
    <w:p>
      <w:pPr>
        <w:spacing w:before="60" w:after="60" w:line="240"/>
        <w:ind w:right="0" w:left="0" w:firstLine="0"/>
        <w:jc w:val="left"/>
        <w:rPr>
          <w:rFonts w:ascii="Arial" w:hAnsi="Arial" w:cs="Arial" w:eastAsia="Arial"/>
          <w:b/>
          <w:color w:val="1A1A2E"/>
          <w:spacing w:val="0"/>
          <w:position w:val="0"/>
          <w:sz w:val="24"/>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r>
        <w:object w:dxaOrig="5487" w:dyaOrig="5547">
          <v:rect xmlns:o="urn:schemas-microsoft-com:office:office" xmlns:v="urn:schemas-microsoft-com:vml" id="rectole0000000002" style="width:274.350000pt;height:277.3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60" w:after="60" w:line="240"/>
        <w:ind w:right="0" w:left="0" w:firstLine="0"/>
        <w:jc w:val="left"/>
        <w:rPr>
          <w:rFonts w:ascii="Calibri" w:hAnsi="Calibri" w:cs="Calibri" w:eastAsia="Calibri"/>
          <w:b/>
          <w:color w:val="auto"/>
          <w:spacing w:val="0"/>
          <w:position w:val="0"/>
          <w:sz w:val="24"/>
          <w:shd w:fill="auto" w:val="clear"/>
        </w:rPr>
      </w:pPr>
    </w:p>
    <w:p>
      <w:pPr>
        <w:spacing w:before="36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77B5"/>
          <w:spacing w:val="0"/>
          <w:position w:val="0"/>
          <w:sz w:val="26"/>
          <w:u w:val="single"/>
          <w:shd w:fill="auto" w:val="clear"/>
        </w:rPr>
        <w:t xml:space="preserve">Figure 4 </w:t>
      </w:r>
      <w:r>
        <w:rPr>
          <w:rFonts w:ascii="Arial" w:hAnsi="Arial" w:cs="Arial" w:eastAsia="Arial"/>
          <w:b/>
          <w:color w:val="0077B5"/>
          <w:spacing w:val="0"/>
          <w:position w:val="0"/>
          <w:sz w:val="26"/>
          <w:u w:val="single"/>
          <w:shd w:fill="auto" w:val="clear"/>
        </w:rPr>
        <w:t xml:space="preserve">—</w:t>
      </w:r>
      <w:r>
        <w:rPr>
          <w:rFonts w:ascii="Arial" w:hAnsi="Arial" w:cs="Arial" w:eastAsia="Arial"/>
          <w:b/>
          <w:color w:val="0077B5"/>
          <w:spacing w:val="0"/>
          <w:position w:val="0"/>
          <w:sz w:val="26"/>
          <w:u w:val="single"/>
          <w:shd w:fill="auto" w:val="clear"/>
        </w:rPr>
        <w:t xml:space="preserve"> AI for Predictive Drug Safety</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ML models (XGBoost, Random Forest, Transformers), Graph Neural Networks, and pharmacogenomics data enable predictive, patient-specific ADR risk assessment before the first prescription is written.</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AI pipeline ingests: patient demographics + comorbidities + pharmacogenomic variants + drug molecular structure (SMILES)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generates individual ADR probability score. This transforms FAERS-derived population signals into personalized pre-prescription risk estimates.</w:t>
      </w:r>
    </w:p>
    <w:p>
      <w:pPr>
        <w:spacing w:before="60" w:after="60" w:line="240"/>
        <w:ind w:right="0" w:left="0" w:firstLine="0"/>
        <w:jc w:val="left"/>
        <w:rPr>
          <w:rFonts w:ascii="Arial" w:hAnsi="Arial" w:cs="Arial" w:eastAsia="Arial"/>
          <w:b/>
          <w:color w:val="1A1A2E"/>
          <w:spacing w:val="0"/>
          <w:position w:val="0"/>
          <w:sz w:val="24"/>
          <w:shd w:fill="auto" w:val="clear"/>
        </w:rPr>
      </w:pPr>
    </w:p>
    <w:p>
      <w:pPr>
        <w:spacing w:before="60" w:after="60" w:line="240"/>
        <w:ind w:right="0" w:left="0" w:firstLine="0"/>
        <w:jc w:val="left"/>
        <w:rPr>
          <w:rFonts w:ascii="Arial" w:hAnsi="Arial" w:cs="Arial" w:eastAsia="Arial"/>
          <w:b/>
          <w:color w:val="1A1A2E"/>
          <w:spacing w:val="0"/>
          <w:position w:val="0"/>
          <w:sz w:val="24"/>
          <w:shd w:fill="auto" w:val="clear"/>
        </w:rPr>
      </w:pPr>
      <w:r>
        <w:object w:dxaOrig="8848" w:dyaOrig="5244">
          <v:rect xmlns:o="urn:schemas-microsoft-com:office:office" xmlns:v="urn:schemas-microsoft-com:vml" id="rectole0000000003" style="width:442.400000pt;height:262.2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60" w:after="60" w:line="240"/>
        <w:ind w:right="0" w:left="0" w:firstLine="0"/>
        <w:jc w:val="left"/>
        <w:rPr>
          <w:rFonts w:ascii="Arial" w:hAnsi="Arial" w:cs="Arial" w:eastAsia="Arial"/>
          <w:b/>
          <w:color w:val="1A1A2E"/>
          <w:spacing w:val="0"/>
          <w:position w:val="0"/>
          <w:sz w:val="24"/>
          <w:shd w:fill="auto" w:val="clear"/>
        </w:rPr>
      </w:pPr>
    </w:p>
    <w:p>
      <w:pPr>
        <w:spacing w:before="60" w:after="60" w:line="240"/>
        <w:ind w:right="0" w:left="0" w:firstLine="0"/>
        <w:jc w:val="left"/>
        <w:rPr>
          <w:rFonts w:ascii="Arial" w:hAnsi="Arial" w:cs="Arial" w:eastAsia="Arial"/>
          <w:b/>
          <w:color w:val="1A1A2E"/>
          <w:spacing w:val="0"/>
          <w:position w:val="0"/>
          <w:sz w:val="24"/>
          <w:shd w:fill="auto" w:val="clear"/>
        </w:rPr>
      </w:pPr>
      <w:r>
        <w:rPr>
          <w:rFonts w:ascii="Arial" w:hAnsi="Arial" w:cs="Arial" w:eastAsia="Arial"/>
          <w:b/>
          <w:color w:val="0077B5"/>
          <w:spacing w:val="0"/>
          <w:position w:val="0"/>
          <w:sz w:val="26"/>
          <w:u w:val="single"/>
          <w:shd w:fill="auto" w:val="clear"/>
        </w:rPr>
        <w:t xml:space="preserve">Figure 5 </w:t>
      </w:r>
      <w:r>
        <w:rPr>
          <w:rFonts w:ascii="Arial" w:hAnsi="Arial" w:cs="Arial" w:eastAsia="Arial"/>
          <w:b/>
          <w:color w:val="0077B5"/>
          <w:spacing w:val="0"/>
          <w:position w:val="0"/>
          <w:sz w:val="26"/>
          <w:u w:val="single"/>
          <w:shd w:fill="auto" w:val="clear"/>
        </w:rPr>
        <w:t xml:space="preserve">—</w:t>
      </w:r>
      <w:r>
        <w:rPr>
          <w:rFonts w:ascii="Arial" w:hAnsi="Arial" w:cs="Arial" w:eastAsia="Arial"/>
          <w:b/>
          <w:color w:val="0077B5"/>
          <w:spacing w:val="0"/>
          <w:position w:val="0"/>
          <w:sz w:val="26"/>
          <w:u w:val="single"/>
          <w:shd w:fill="auto" w:val="clear"/>
        </w:rPr>
        <w:t xml:space="preserve"> Signal Detection Scatter Plot (VEDOLIZUMAB)</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333333"/>
          <w:spacing w:val="0"/>
          <w:position w:val="0"/>
          <w:sz w:val="22"/>
          <w:shd w:fill="auto" w:val="clear"/>
        </w:rPr>
        <w:t xml:space="preserve">PRR/ROR scatter plot displaying all 2,524 VEDOLIZUMAB reactions. X-axis: number of reports (n, log scale). Y-axis: PRR (log scale). Color gradient from blue (low PRR) to red (high PRR confirmed signals). Dashed yellow line marks the PRR=2 threshold.</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visualization directly shows the disproportionality analysis output. Each dot is one MedDRA reaction. Dots above the dashed PRR=2 line AND with ROR lower 95% CI &gt; 1 AND Chi²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4 are confirmed signals. The top 6 signals by n are labeled directly on the chart (Cuffitis, Cervix carcinoma stage I, Vascular access site bruising, Prenatal screening test abnormal).</w:t>
      </w:r>
    </w:p>
    <w:p>
      <w:pPr>
        <w:spacing w:before="60" w:after="60" w:line="240"/>
        <w:ind w:right="0" w:left="0" w:firstLine="0"/>
        <w:jc w:val="left"/>
        <w:rPr>
          <w:rFonts w:ascii="Arial" w:hAnsi="Arial" w:cs="Arial" w:eastAsia="Arial"/>
          <w:b/>
          <w:color w:val="1A1A2E"/>
          <w:spacing w:val="0"/>
          <w:position w:val="0"/>
          <w:sz w:val="24"/>
          <w:shd w:fill="auto" w:val="clear"/>
        </w:rPr>
      </w:pPr>
    </w:p>
    <w:p>
      <w:pPr>
        <w:spacing w:before="60" w:after="60" w:line="240"/>
        <w:ind w:right="0" w:left="0" w:firstLine="0"/>
        <w:jc w:val="left"/>
        <w:rPr>
          <w:rFonts w:ascii="Arial" w:hAnsi="Arial" w:cs="Arial" w:eastAsia="Arial"/>
          <w:color w:val="auto"/>
          <w:spacing w:val="0"/>
          <w:position w:val="0"/>
          <w:sz w:val="22"/>
          <w:shd w:fill="auto" w:val="clear"/>
        </w:rPr>
      </w:pPr>
      <w:r>
        <w:object w:dxaOrig="7876" w:dyaOrig="4737">
          <v:rect xmlns:o="urn:schemas-microsoft-com:office:office" xmlns:v="urn:schemas-microsoft-com:vml" id="rectole0000000004" style="width:393.800000pt;height:236.85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60" w:after="6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left"/>
        <w:rPr>
          <w:rFonts w:ascii="Arial" w:hAnsi="Arial" w:cs="Arial" w:eastAsia="Arial"/>
          <w:b/>
          <w:color w:val="0077B5"/>
          <w:spacing w:val="0"/>
          <w:position w:val="0"/>
          <w:sz w:val="26"/>
          <w:u w:val="single"/>
          <w:shd w:fill="auto" w:val="clear"/>
        </w:rPr>
      </w:pPr>
      <w:r>
        <w:rPr>
          <w:rFonts w:ascii="Arial" w:hAnsi="Arial" w:cs="Arial" w:eastAsia="Arial"/>
          <w:b/>
          <w:color w:val="0077B5"/>
          <w:spacing w:val="0"/>
          <w:position w:val="0"/>
          <w:sz w:val="26"/>
          <w:u w:val="single"/>
          <w:shd w:fill="auto" w:val="clear"/>
        </w:rPr>
        <w:t xml:space="preserve">Figure 6 </w:t>
      </w:r>
      <w:r>
        <w:rPr>
          <w:rFonts w:ascii="Arial" w:hAnsi="Arial" w:cs="Arial" w:eastAsia="Arial"/>
          <w:b/>
          <w:color w:val="0077B5"/>
          <w:spacing w:val="0"/>
          <w:position w:val="0"/>
          <w:sz w:val="26"/>
          <w:u w:val="single"/>
          <w:shd w:fill="auto" w:val="clear"/>
        </w:rPr>
        <w:t xml:space="preserve">—</w:t>
      </w:r>
      <w:r>
        <w:rPr>
          <w:rFonts w:ascii="Arial" w:hAnsi="Arial" w:cs="Arial" w:eastAsia="Arial"/>
          <w:b/>
          <w:color w:val="0077B5"/>
          <w:spacing w:val="0"/>
          <w:position w:val="0"/>
          <w:sz w:val="26"/>
          <w:u w:val="single"/>
          <w:shd w:fill="auto" w:val="clear"/>
        </w:rPr>
        <w:t xml:space="preserve"> FAERS 2025 Dashboard: Patient Demographics &amp; Drug Landscape</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4-panel dashboard (linkedin_06_dashboard.png) summarizes the key demographic and epidemiological dimensions of the FAERS 2025 dataset across 7,801,018 drug-reaction records: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Panel A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Sex Distribution (top left): </w:t>
      </w:r>
      <w:r>
        <w:rPr>
          <w:rFonts w:ascii="Arial" w:hAnsi="Arial" w:cs="Arial" w:eastAsia="Arial"/>
          <w:color w:val="auto"/>
          <w:spacing w:val="0"/>
          <w:position w:val="0"/>
          <w:sz w:val="22"/>
          <w:shd w:fill="auto" w:val="clear"/>
        </w:rPr>
        <w:t xml:space="preserve">Donut chart showing 65% female (4,228,251 reports) vs 35% male (2,279,096 reports). The female predominance reflects both the demographics of biologics users (e.g. atopic dermatitis, autoimmune conditions) and established sex-based reporting differences in pharmacovigilance literature.</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Panel B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Reports by Quarter (top right): </w:t>
      </w:r>
      <w:r>
        <w:rPr>
          <w:rFonts w:ascii="Arial" w:hAnsi="Arial" w:cs="Arial" w:eastAsia="Arial"/>
          <w:color w:val="auto"/>
          <w:spacing w:val="0"/>
          <w:position w:val="0"/>
          <w:sz w:val="22"/>
          <w:shd w:fill="auto" w:val="clear"/>
        </w:rPr>
        <w:t xml:space="preserve">Bar chart showing quarterly report volumes: Q1: 2.01M, Q2: 1.83M, Q3: 2.15M (peak), Q4: 1.82M. The Q3 peak may reflect mid-year prescribing cycles and delayed reporting from Q2. Consistent quarterly volumes confirm complete annual coverage.</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Panel C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Age Group Distribution (bottom left): </w:t>
      </w:r>
      <w:r>
        <w:rPr>
          <w:rFonts w:ascii="Arial" w:hAnsi="Arial" w:cs="Arial" w:eastAsia="Arial"/>
          <w:color w:val="auto"/>
          <w:spacing w:val="0"/>
          <w:position w:val="0"/>
          <w:sz w:val="22"/>
          <w:shd w:fill="auto" w:val="clear"/>
        </w:rPr>
        <w:t xml:space="preserve">Horizontal bar chart: Adults (1,352,607) and Elderly (917,924) together represent 88% of all reports. Children (59,292), Adolescents (46,036), Neonates (18,447), and Infants (13,081) represent smaller but clinically critical populations for pediatric pharmacovigilance.</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Panel D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Top 10 Suspect Drugs (bottom right): </w:t>
      </w:r>
      <w:r>
        <w:rPr>
          <w:rFonts w:ascii="Arial" w:hAnsi="Arial" w:cs="Arial" w:eastAsia="Arial"/>
          <w:color w:val="auto"/>
          <w:spacing w:val="0"/>
          <w:position w:val="0"/>
          <w:sz w:val="22"/>
          <w:shd w:fill="auto" w:val="clear"/>
        </w:rPr>
        <w:t xml:space="preserve">Horizontal bar chart showing DUPIXENT as the dominant suspect drug (141,289 reports)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nearly double VEDOLIZUMAB (#2, 67,974). GLP-1 agonists (ZEPBOUND, MOUNJARO, OZEMPIC) appear in positions 3, 4, and 8 respectively, reflecting their rapid market penetration in 2025.</w:t>
      </w: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Together, these 4 panels provide the population-level context necessary to interpret signal detection results: the signals detected for VEDOLIZUMAB (Section 5) occur primarily in adult and elderly females, consistent with the IBD patient population this drug serves.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left"/>
        <w:rPr>
          <w:rFonts w:ascii="Arial" w:hAnsi="Arial" w:cs="Arial" w:eastAsia="Arial"/>
          <w:color w:val="auto"/>
          <w:spacing w:val="0"/>
          <w:position w:val="0"/>
          <w:sz w:val="22"/>
          <w:shd w:fill="auto" w:val="clear"/>
        </w:rPr>
      </w:pPr>
      <w:r>
        <w:object w:dxaOrig="7025" w:dyaOrig="5203">
          <v:rect xmlns:o="urn:schemas-microsoft-com:office:office" xmlns:v="urn:schemas-microsoft-com:vml" id="rectole0000000005" style="width:351.250000pt;height:260.1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00" w:after="200" w:line="240"/>
        <w:ind w:right="0" w:left="0" w:firstLine="0"/>
        <w:jc w:val="left"/>
        <w:rPr>
          <w:rFonts w:ascii="Arial" w:hAnsi="Arial" w:cs="Arial" w:eastAsia="Arial"/>
          <w:color w:val="auto"/>
          <w:spacing w:val="0"/>
          <w:position w:val="0"/>
          <w:sz w:val="22"/>
          <w:shd w:fill="auto" w:val="clear"/>
        </w:rPr>
      </w:pPr>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i/>
          <w:color w:val="888888"/>
          <w:spacing w:val="0"/>
          <w:position w:val="0"/>
          <w:sz w:val="18"/>
          <w:shd w:fill="auto" w:val="clear"/>
        </w:rPr>
        <w:t xml:space="preserve">Data source: FDA FAERS Public Dashboard </w:t>
      </w:r>
      <w:r>
        <w:rPr>
          <w:rFonts w:ascii="Arial" w:hAnsi="Arial" w:cs="Arial" w:eastAsia="Arial"/>
          <w:i/>
          <w:color w:val="888888"/>
          <w:spacing w:val="0"/>
          <w:position w:val="0"/>
          <w:sz w:val="18"/>
          <w:shd w:fill="auto" w:val="clear"/>
        </w:rPr>
        <w:t xml:space="preserve">—</w:t>
      </w:r>
      <w:r>
        <w:rPr>
          <w:rFonts w:ascii="Arial" w:hAnsi="Arial" w:cs="Arial" w:eastAsia="Arial"/>
          <w:i/>
          <w:color w:val="888888"/>
          <w:spacing w:val="0"/>
          <w:position w:val="0"/>
          <w:sz w:val="18"/>
          <w:shd w:fill="auto" w:val="clear"/>
        </w:rPr>
        <w:t xml:space="preserve"> </w:t>
      </w:r>
      <w:hyperlink xmlns:r="http://schemas.openxmlformats.org/officeDocument/2006/relationships" r:id="docRId13">
        <w:r>
          <w:rPr>
            <w:rFonts w:ascii="Arial" w:hAnsi="Arial" w:cs="Arial" w:eastAsia="Arial"/>
            <w:i/>
            <w:color w:val="0000FF"/>
            <w:spacing w:val="0"/>
            <w:position w:val="0"/>
            <w:sz w:val="18"/>
            <w:u w:val="single"/>
            <w:shd w:fill="auto" w:val="clear"/>
          </w:rPr>
          <w:t xml:space="preserve">https://www.fda.gov/drugs/questions-and-answers-fdas-adverse-event-reporting-system-faers</w:t>
        </w:r>
      </w:hyperlink>
    </w:p>
    <w:p>
      <w:pPr>
        <w:spacing w:before="80" w:after="120" w:line="320"/>
        <w:ind w:right="0" w:left="0" w:firstLine="0"/>
        <w:jc w:val="left"/>
        <w:rPr>
          <w:rFonts w:ascii="Arial" w:hAnsi="Arial" w:cs="Arial" w:eastAsia="Arial"/>
          <w:color w:val="auto"/>
          <w:spacing w:val="0"/>
          <w:position w:val="0"/>
          <w:sz w:val="22"/>
          <w:shd w:fill="auto" w:val="clear"/>
        </w:rPr>
      </w:pPr>
      <w:r>
        <w:rPr>
          <w:rFonts w:ascii="Arial" w:hAnsi="Arial" w:cs="Arial" w:eastAsia="Arial"/>
          <w:i/>
          <w:color w:val="888888"/>
          <w:spacing w:val="0"/>
          <w:position w:val="0"/>
          <w:sz w:val="18"/>
          <w:shd w:fill="auto" w:val="clear"/>
        </w:rPr>
        <w:t xml:space="preserve">All signals identified through disproportionality analysis require prospective clinical validation before any safety conclusions can be drawn.</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E4D8C"/>
          <w:spacing w:val="0"/>
          <w:position w:val="0"/>
          <w:sz w:val="22"/>
          <w:shd w:fill="auto" w:val="clear"/>
        </w:rPr>
        <w:t xml:space="preserve">—</w:t>
      </w:r>
      <w:r>
        <w:rPr>
          <w:rFonts w:ascii="Arial" w:hAnsi="Arial" w:cs="Arial" w:eastAsia="Arial"/>
          <w:b/>
          <w:color w:val="1E4D8C"/>
          <w:spacing w:val="0"/>
          <w:position w:val="0"/>
          <w:sz w:val="22"/>
          <w:shd w:fill="auto" w:val="clear"/>
        </w:rPr>
        <w:t xml:space="preserve"> Sami Bahig | Healthcare Data Scientist, researcher, Md, Msc</w:t>
      </w:r>
    </w:p>
    <w:p>
      <w:pPr>
        <w:spacing w:before="6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888888"/>
          <w:spacing w:val="0"/>
          <w:position w:val="0"/>
          <w:sz w:val="18"/>
          <w:shd w:fill="auto" w:val="clear"/>
        </w:rPr>
        <w:t xml:space="preserve">#DrugSafety #Pharmacovigilance #BigData #MachineLearning #NLP #ClinicalPharmacology #FAERS #FDA #HealthcareAI #DataScience #Python #Hadoop #GoogleCloud #Pharmacogenomics #PrecisionMedicine #Oncology #UCSDSanDiego</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46">
    <w:abstractNumId w:val="42"/>
  </w:num>
  <w:num w:numId="53">
    <w:abstractNumId w:val="36"/>
  </w:num>
  <w:num w:numId="57">
    <w:abstractNumId w:val="30"/>
  </w:num>
  <w:num w:numId="82">
    <w:abstractNumId w:val="24"/>
  </w:num>
  <w:num w:numId="89">
    <w:abstractNumId w:val="18"/>
  </w:num>
  <w:num w:numId="94">
    <w:abstractNumId w:val="12"/>
  </w:num>
  <w:num w:numId="179">
    <w:abstractNumId w:val="6"/>
  </w:num>
  <w:num w:numId="18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fda.gov/drugs/questions-and-answers-fdas-adverse-event-reporting-system-faers" Id="docRId13" Type="http://schemas.openxmlformats.org/officeDocument/2006/relationships/hyperlink" /><Relationship Target="embeddings/oleObject1.bin" Id="docRId3" Type="http://schemas.openxmlformats.org/officeDocument/2006/relationships/oleObject" /><Relationship Target="embeddings/oleObject3.bin" Id="docRId7" Type="http://schemas.openxmlformats.org/officeDocument/2006/relationships/oleObject" /><Relationship Target="media/image4.wmf" Id="docRId10" Type="http://schemas.openxmlformats.org/officeDocument/2006/relationships/image" /><Relationship Target="numbering.xml" Id="docRId14" Type="http://schemas.openxmlformats.org/officeDocument/2006/relationships/numbering" /><Relationship Target="media/image0.wmf" Id="docRId2" Type="http://schemas.openxmlformats.org/officeDocument/2006/relationships/image" /><Relationship Target="media/image2.wmf" Id="docRId6" Type="http://schemas.openxmlformats.org/officeDocument/2006/relationships/image" /><Relationship Target="embeddings/oleObject0.bin" Id="docRId1" Type="http://schemas.openxmlformats.org/officeDocument/2006/relationships/oleObject" /><Relationship Target="embeddings/oleObject5.bin" Id="docRId11" Type="http://schemas.openxmlformats.org/officeDocument/2006/relationships/oleObject" /><Relationship Target="styles.xml" Id="docRId15" Type="http://schemas.openxmlformats.org/officeDocument/2006/relationships/styles" /><Relationship Target="embeddings/oleObject2.bin" Id="docRId5" Type="http://schemas.openxmlformats.org/officeDocument/2006/relationships/oleObject" /><Relationship Target="embeddings/oleObject4.bin" Id="docRId9" Type="http://schemas.openxmlformats.org/officeDocument/2006/relationships/oleObject" /><Relationship TargetMode="External" Target="https://coursera.org/verify/NQB43MY3ZK7L" Id="docRId0" Type="http://schemas.openxmlformats.org/officeDocument/2006/relationships/hyperlink" /><Relationship Target="media/image5.wmf" Id="docRId12" Type="http://schemas.openxmlformats.org/officeDocument/2006/relationships/image" /><Relationship Target="media/image1.wmf" Id="docRId4" Type="http://schemas.openxmlformats.org/officeDocument/2006/relationships/image" /><Relationship Target="media/image3.wmf" Id="docRId8" Type="http://schemas.openxmlformats.org/officeDocument/2006/relationships/image" /></Relationships>
</file>