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0" w:after="0"/>
      </w:pPr>
      <w:r>
        <w:t xml:space="preserve"/>
      </w:r>
    </w:p>
    <w:p>
      <w:pPr>
        <w:spacing w:before="0" w:after="80"/>
        <w:jc w:val="center"/>
      </w:pPr>
      <w:r>
        <w:rPr>
          <w:rFonts w:ascii="Arial" w:cs="Arial" w:eastAsia="Arial" w:hAnsi="Arial"/>
          <w:b/>
          <w:bCs/>
          <w:caps/>
          <w:color w:val="00B294"/>
          <w:sz w:val="24"/>
          <w:szCs w:val="24"/>
        </w:rPr>
        <w:t xml:space="preserve">ENTERPRISE</w:t>
      </w:r>
    </w:p>
    <w:p>
      <w:pPr>
        <w:spacing w:before="0" w:after="60"/>
        <w:jc w:val="center"/>
      </w:pPr>
      <w:r>
        <w:rPr>
          <w:rFonts w:ascii="Arial" w:cs="Arial" w:eastAsia="Arial" w:hAnsi="Arial"/>
          <w:b/>
          <w:bCs/>
          <w:color w:val="0078D4"/>
          <w:sz w:val="56"/>
          <w:szCs w:val="56"/>
        </w:rPr>
        <w:t xml:space="preserve">Microsoft 365 Cloud Migration</w:t>
      </w:r>
    </w:p>
    <w:p>
      <w:pPr>
        <w:spacing w:before="0" w:after="60"/>
        <w:jc w:val="center"/>
      </w:pPr>
      <w:r>
        <w:rPr>
          <w:rFonts w:ascii="Arial" w:cs="Arial" w:eastAsia="Arial" w:hAnsi="Arial"/>
          <w:b w:val="false"/>
          <w:bCs w:val="false"/>
          <w:color w:val="1A1A2E"/>
          <w:sz w:val="36"/>
          <w:szCs w:val="36"/>
        </w:rPr>
        <w:t xml:space="preserve">Project Portfolio &amp; Implementation Guide</w:t>
      </w:r>
    </w:p>
    <w:p>
      <w:pPr>
        <w:spacing w:before="40" w:after="0"/>
      </w:pPr>
      <w:r>
        <w:t xml:space="preserve"/>
      </w:r>
    </w:p>
    <w:p>
      <w:pPr>
        <w:pBdr>
          <w:top w:val="single" w:color="0078D4" w:sz="4" w:space="2"/>
          <w:bottom w:val="single" w:color="0078D4" w:sz="4" w:space="2"/>
        </w:pBdr>
        <w:spacing w:before="0" w:after="0"/>
        <w:jc w:val="center"/>
      </w:pPr>
      <w:r>
        <w:rPr>
          <w:rFonts w:ascii="Arial" w:cs="Arial" w:eastAsia="Arial" w:hAnsi="Arial"/>
          <w:color w:val="555555"/>
          <w:sz w:val="26"/>
          <w:szCs w:val="26"/>
        </w:rPr>
        <w:t xml:space="preserve">  Meridian Global Services → Microsoft 365  </w:t>
      </w:r>
    </w:p>
    <w:p>
      <w:pPr>
        <w:spacing w:before="80" w:after="0"/>
      </w:pPr>
      <w:r>
        <w:t xml:space="preserve"/>
      </w:r>
    </w:p>
    <w:p>
      <w:pPr>
        <w:spacing w:before="0" w:after="40"/>
        <w:jc w:val="center"/>
      </w:pPr>
      <w:r>
        <w:rPr>
          <w:rFonts w:ascii="Arial" w:cs="Arial" w:eastAsia="Arial" w:hAnsi="Arial"/>
          <w:color w:val="555555"/>
          <w:sz w:val="22"/>
          <w:szCs w:val="22"/>
        </w:rPr>
        <w:t xml:space="preserve">850 Users  |  5 Offices  |  Hybrid Exchange Migration  |  Zero Critical Downtime</w:t>
      </w:r>
    </w:p>
    <w:p>
      <w:pPr>
        <w:spacing w:before="3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78D4" w:sz="1"/>
              <w:left w:val="single" w:color="0078D4" w:sz="1"/>
              <w:bottom w:val="single" w:color="0078D4" w:sz="1"/>
              <w:right w:val="single" w:color="0078D4" w:sz="1"/>
            </w:tcBorders>
            <w:shd w:fill="EFF6FC" w:val="clear"/>
            <w:tcMar>
              <w:top w:type="dxa" w:w="120"/>
              <w:left w:type="dxa" w:w="120"/>
              <w:bottom w:type="dxa" w:w="120"/>
              <w:right w:type="dxa" w:w="120"/>
            </w:tcMar>
            <w:vAlign w:val="center"/>
          </w:tcPr>
          <w:p>
            <w:pPr>
              <w:spacing w:before="0" w:after="30"/>
              <w:jc w:val="center"/>
            </w:pPr>
            <w:r>
              <w:rPr>
                <w:rFonts w:ascii="Arial" w:cs="Arial" w:eastAsia="Arial" w:hAnsi="Arial"/>
                <w:b/>
                <w:bCs/>
                <w:caps/>
                <w:color w:val="0078D4"/>
                <w:sz w:val="18"/>
                <w:szCs w:val="18"/>
              </w:rPr>
              <w:t xml:space="preserve">Project Type</w:t>
            </w:r>
          </w:p>
          <w:p>
            <w:pPr>
              <w:spacing w:before="0" w:after="0"/>
              <w:jc w:val="center"/>
            </w:pPr>
            <w:r>
              <w:rPr>
                <w:rFonts w:ascii="Arial" w:cs="Arial" w:eastAsia="Arial" w:hAnsi="Arial"/>
                <w:color w:val="1A1A2E"/>
                <w:sz w:val="20"/>
                <w:szCs w:val="20"/>
              </w:rPr>
              <w:t xml:space="preserve">Enterprise Migration</w:t>
            </w:r>
          </w:p>
        </w:tc>
        <w:tc>
          <w:tcPr>
            <w:tcW w:type="dxa" w:w="2340"/>
            <w:tcBorders>
              <w:top w:val="single" w:color="0078D4" w:sz="1"/>
              <w:left w:val="single" w:color="0078D4" w:sz="1"/>
              <w:bottom w:val="single" w:color="0078D4" w:sz="1"/>
              <w:right w:val="single" w:color="0078D4" w:sz="1"/>
            </w:tcBorders>
            <w:shd w:fill="EFF6FC" w:val="clear"/>
            <w:tcMar>
              <w:top w:type="dxa" w:w="120"/>
              <w:left w:type="dxa" w:w="120"/>
              <w:bottom w:type="dxa" w:w="120"/>
              <w:right w:type="dxa" w:w="120"/>
            </w:tcMar>
            <w:vAlign w:val="center"/>
          </w:tcPr>
          <w:p>
            <w:pPr>
              <w:spacing w:before="0" w:after="30"/>
              <w:jc w:val="center"/>
            </w:pPr>
            <w:r>
              <w:rPr>
                <w:rFonts w:ascii="Arial" w:cs="Arial" w:eastAsia="Arial" w:hAnsi="Arial"/>
                <w:b/>
                <w:bCs/>
                <w:caps/>
                <w:color w:val="0078D4"/>
                <w:sz w:val="18"/>
                <w:szCs w:val="18"/>
              </w:rPr>
              <w:t xml:space="preserve">Duration</w:t>
            </w:r>
          </w:p>
          <w:p>
            <w:pPr>
              <w:spacing w:before="0" w:after="0"/>
              <w:jc w:val="center"/>
            </w:pPr>
            <w:r>
              <w:rPr>
                <w:rFonts w:ascii="Arial" w:cs="Arial" w:eastAsia="Arial" w:hAnsi="Arial"/>
                <w:color w:val="1A1A2E"/>
                <w:sz w:val="20"/>
                <w:szCs w:val="20"/>
              </w:rPr>
              <w:t xml:space="preserve">16 Weeks</w:t>
            </w:r>
          </w:p>
        </w:tc>
        <w:tc>
          <w:tcPr>
            <w:tcW w:type="dxa" w:w="2340"/>
            <w:tcBorders>
              <w:top w:val="single" w:color="0078D4" w:sz="1"/>
              <w:left w:val="single" w:color="0078D4" w:sz="1"/>
              <w:bottom w:val="single" w:color="0078D4" w:sz="1"/>
              <w:right w:val="single" w:color="0078D4" w:sz="1"/>
            </w:tcBorders>
            <w:shd w:fill="EFF6FC" w:val="clear"/>
            <w:tcMar>
              <w:top w:type="dxa" w:w="120"/>
              <w:left w:type="dxa" w:w="120"/>
              <w:bottom w:type="dxa" w:w="120"/>
              <w:right w:type="dxa" w:w="120"/>
            </w:tcMar>
            <w:vAlign w:val="center"/>
          </w:tcPr>
          <w:p>
            <w:pPr>
              <w:spacing w:before="0" w:after="30"/>
              <w:jc w:val="center"/>
            </w:pPr>
            <w:r>
              <w:rPr>
                <w:rFonts w:ascii="Arial" w:cs="Arial" w:eastAsia="Arial" w:hAnsi="Arial"/>
                <w:b/>
                <w:bCs/>
                <w:caps/>
                <w:color w:val="0078D4"/>
                <w:sz w:val="18"/>
                <w:szCs w:val="18"/>
              </w:rPr>
              <w:t xml:space="preserve">Status</w:t>
            </w:r>
          </w:p>
          <w:p>
            <w:pPr>
              <w:spacing w:before="0" w:after="0"/>
              <w:jc w:val="center"/>
            </w:pPr>
            <w:r>
              <w:rPr>
                <w:rFonts w:ascii="Arial" w:cs="Arial" w:eastAsia="Arial" w:hAnsi="Arial"/>
                <w:color w:val="1A1A2E"/>
                <w:sz w:val="20"/>
                <w:szCs w:val="20"/>
              </w:rPr>
              <w:t xml:space="preserve">Completed</w:t>
            </w:r>
          </w:p>
        </w:tc>
        <w:tc>
          <w:tcPr>
            <w:tcW w:type="dxa" w:w="2340"/>
            <w:tcBorders>
              <w:top w:val="single" w:color="0078D4" w:sz="1"/>
              <w:left w:val="single" w:color="0078D4" w:sz="1"/>
              <w:bottom w:val="single" w:color="0078D4" w:sz="1"/>
              <w:right w:val="single" w:color="0078D4" w:sz="1"/>
            </w:tcBorders>
            <w:shd w:fill="EFF6FC" w:val="clear"/>
            <w:tcMar>
              <w:top w:type="dxa" w:w="120"/>
              <w:left w:type="dxa" w:w="120"/>
              <w:bottom w:type="dxa" w:w="120"/>
              <w:right w:type="dxa" w:w="120"/>
            </w:tcMar>
            <w:vAlign w:val="center"/>
          </w:tcPr>
          <w:p>
            <w:pPr>
              <w:spacing w:before="0" w:after="30"/>
              <w:jc w:val="center"/>
            </w:pPr>
            <w:r>
              <w:rPr>
                <w:rFonts w:ascii="Arial" w:cs="Arial" w:eastAsia="Arial" w:hAnsi="Arial"/>
                <w:b/>
                <w:bCs/>
                <w:caps/>
                <w:color w:val="0078D4"/>
                <w:sz w:val="18"/>
                <w:szCs w:val="18"/>
              </w:rPr>
              <w:t xml:space="preserve">Prepared By</w:t>
            </w:r>
          </w:p>
          <w:p>
            <w:pPr>
              <w:spacing w:before="0" w:after="0"/>
              <w:jc w:val="center"/>
            </w:pPr>
            <w:r>
              <w:rPr>
                <w:rFonts w:ascii="Arial" w:cs="Arial" w:eastAsia="Arial" w:hAnsi="Arial"/>
                <w:color w:val="1A1A2E"/>
                <w:sz w:val="20"/>
                <w:szCs w:val="20"/>
              </w:rPr>
              <w:t xml:space="preserve">Cloud Engineering Team</w:t>
            </w:r>
          </w:p>
        </w:tc>
      </w:tr>
    </w:tbl>
    <w:p>
      <w:r>
        <w:br w:type="page"/>
      </w:r>
    </w:p>
    <w:p>
      <w:pPr>
        <w:pStyle w:val="Heading1"/>
        <w:pBdr>
          <w:bottom w:val="single" w:color="0078D4" w:sz="6" w:space="4"/>
        </w:pBdr>
        <w:spacing w:before="320" w:after="160"/>
      </w:pPr>
      <w:r>
        <w:rPr>
          <w:rFonts w:ascii="Arial" w:cs="Arial" w:eastAsia="Arial" w:hAnsi="Arial"/>
          <w:b/>
          <w:bCs/>
          <w:color w:val="0078D4"/>
          <w:sz w:val="32"/>
          <w:szCs w:val="32"/>
        </w:rPr>
        <w:t xml:space="preserve">1. Executive Overview</w:t>
      </w:r>
    </w:p>
    <w:p>
      <w:pPr>
        <w:spacing w:before="60" w:after="0"/>
      </w:pPr>
      <w:r>
        <w:t xml:space="preserve"/>
      </w:r>
    </w:p>
    <w:tbl>
      <w:tblPr>
        <w:tblW w:type="dxa" w:w="9360"/>
        <w:tblBorders>
          <w:top w:val="single" w:color="0078D4" w:sz="4"/>
          <w:left w:val="single" w:color="0078D4" w:sz="4"/>
          <w:bottom w:val="single" w:color="0078D4" w:sz="4"/>
          <w:right w:val="single" w:color="0078D4"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C" w:val="clear"/>
            <w:tcMar>
              <w:top w:type="dxa" w:w="80"/>
              <w:left w:type="dxa" w:w="200"/>
              <w:bottom w:type="dxa" w:w="80"/>
              <w:right w:type="dxa" w:w="200"/>
            </w:tcMar>
          </w:tcPr>
          <w:p/>
        </w:tc>
      </w:tr>
    </w:tbl>
    <w:p>
      <w:pPr>
        <w:spacing w:before="80" w:after="0"/>
      </w:pPr>
      <w:r>
        <w:t xml:space="preserve"/>
      </w:r>
    </w:p>
    <w:p>
      <w:pPr>
        <w:spacing w:before="60" w:after="60"/>
      </w:pPr>
      <w:r>
        <w:rPr>
          <w:rFonts w:ascii="Arial" w:cs="Arial" w:eastAsia="Arial" w:hAnsi="Arial"/>
          <w:color w:val="000000"/>
          <w:sz w:val="22"/>
          <w:szCs w:val="22"/>
        </w:rPr>
        <w:t xml:space="preserve">Meridian Global Services (MGS) engaged our Cloud Engineering practice to design and execute a full-scope migration from their aging on-premises Microsoft infrastructure to Microsoft 365. The existing environment — built on Windows Server 2012 R2, Exchange Server 2013, Skype for Business 2015, and legacy NTFS file shares — was reaching end-of-extended-support and exposing the organization to critical security, compliance, and operational continuity risks.</w:t>
      </w:r>
    </w:p>
    <w:p>
      <w:pPr>
        <w:spacing w:before="40" w:after="0"/>
      </w:pPr>
      <w:r>
        <w:t xml:space="preserve"/>
      </w:r>
    </w:p>
    <w:p>
      <w:pPr>
        <w:spacing w:before="60" w:after="60"/>
      </w:pPr>
      <w:r>
        <w:rPr>
          <w:rFonts w:ascii="Arial" w:cs="Arial" w:eastAsia="Arial" w:hAnsi="Arial"/>
          <w:color w:val="000000"/>
          <w:sz w:val="22"/>
          <w:szCs w:val="22"/>
        </w:rPr>
        <w:t xml:space="preserve">The migration was delivered in five structured phases over 16 weeks, transitioning 850 mailboxes, approximately 4.2 TB of email data, 7.8 TB of shared file content, and all unified communications to the Microsoft 365 cloud platform. A Staged Hybrid approach was selected to enable coexistence between on-premises and cloud environments throughout the migration, eliminating the need for a hard-cutover weekend and ensuring that business operations across five time zones were never interrupted.</w:t>
      </w:r>
    </w:p>
    <w:p>
      <w:pPr>
        <w:spacing w:before="40" w:after="0"/>
      </w:pPr>
      <w:r>
        <w:t xml:space="preserve"/>
      </w:r>
    </w:p>
    <w:p>
      <w:pPr>
        <w:spacing w:before="60" w:after="60"/>
      </w:pPr>
      <w:r>
        <w:rPr>
          <w:rFonts w:ascii="Arial" w:cs="Arial" w:eastAsia="Arial" w:hAnsi="Arial"/>
          <w:color w:val="000000"/>
          <w:sz w:val="22"/>
          <w:szCs w:val="22"/>
        </w:rPr>
        <w:t xml:space="preserve">The engagement resulted in a 34% reduction in infrastructure operating costs, a 99.97% user satisfaction score post-migration, elimination of the organization's on-premises Exchange footprint, and a measurably improved security posture through full implementation of Microsoft Defender for Office 365, Multi-Factor Authentication, and Conditional Access policies.</w:t>
      </w:r>
    </w:p>
    <w:p>
      <w:pPr>
        <w:spacing w:before="60" w:after="0"/>
      </w:pPr>
      <w:r>
        <w:t xml:space="preserve"/>
      </w:r>
    </w:p>
    <w:p>
      <w:pPr>
        <w:pStyle w:val="Heading2"/>
        <w:spacing w:before="240" w:after="100"/>
      </w:pPr>
      <w:r>
        <w:rPr>
          <w:rFonts w:ascii="Arial" w:cs="Arial" w:eastAsia="Arial" w:hAnsi="Arial"/>
          <w:b/>
          <w:bCs/>
          <w:color w:val="1A1A2E"/>
          <w:sz w:val="26"/>
          <w:szCs w:val="26"/>
        </w:rPr>
        <w:t xml:space="preserve">Project Snapshot</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30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ATTRIBUTE</w:t>
            </w:r>
          </w:p>
        </w:tc>
        <w:tc>
          <w:tcPr>
            <w:tcW w:type="dxa" w:w="636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pPr>
              <w:spacing w:before="40" w:after="40"/>
            </w:pPr>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Total Users Migrated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850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Mailboxes Migrated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850 (including 42 shared mailboxes)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Email Data Volume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4.2 TB</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File Data Volume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7.8 TB (SharePoint + OneDrive)</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Office Locations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5 (Dubai, London, New York, Singapore, Sydney)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Migration Method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Staged Hybrid (Exchange Hybrid)</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Migration Window</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Friday 10 PM – Sunday 6 AM (per batch)</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Total Project Duration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16 Weeks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Critical Downtime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0 minutes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Licenses Deployed</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Microsoft 365 E3 (850) + E5 Security Add-on (200)</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Post-Migration Score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before="40" w:after="40"/>
            </w:pPr>
            <w:r>
              <w:rPr>
                <w:rFonts w:ascii="Arial" w:cs="Arial" w:eastAsia="Arial" w:hAnsi="Arial"/>
                <w:b w:val="false"/>
                <w:bCs w:val="false"/>
                <w:color w:val="000000"/>
                <w:sz w:val="20"/>
                <w:szCs w:val="20"/>
              </w:rPr>
              <w:t xml:space="preserve">99.97% user satisfaction (internal survey)</w:t>
            </w:r>
          </w:p>
        </w:tc>
      </w:tr>
    </w:tbl>
    <w:p>
      <w:r>
        <w:br w:type="page"/>
      </w:r>
    </w:p>
    <w:p>
      <w:pPr>
        <w:pStyle w:val="Heading1"/>
        <w:pBdr>
          <w:bottom w:val="single" w:color="0078D4" w:sz="6" w:space="4"/>
        </w:pBdr>
        <w:spacing w:before="320" w:after="160"/>
      </w:pPr>
      <w:r>
        <w:rPr>
          <w:rFonts w:ascii="Arial" w:cs="Arial" w:eastAsia="Arial" w:hAnsi="Arial"/>
          <w:b/>
          <w:bCs/>
          <w:color w:val="0078D4"/>
          <w:sz w:val="32"/>
          <w:szCs w:val="32"/>
        </w:rPr>
        <w:t xml:space="preserve">2. Business Problem</w:t>
      </w:r>
    </w:p>
    <w:p>
      <w:pPr>
        <w:spacing w:before="60" w:after="0"/>
      </w:pPr>
      <w:r>
        <w:t xml:space="preserve"/>
      </w:r>
    </w:p>
    <w:p>
      <w:pPr>
        <w:spacing w:before="60" w:after="60"/>
      </w:pPr>
      <w:r>
        <w:rPr>
          <w:rFonts w:ascii="Arial" w:cs="Arial" w:eastAsia="Arial" w:hAnsi="Arial"/>
          <w:color w:val="000000"/>
          <w:sz w:val="22"/>
          <w:szCs w:val="22"/>
        </w:rPr>
        <w:t xml:space="preserve">MGS had operated its core communication and collaboration infrastructure on-premises since 2009. By 2023, the environment had accumulated substantial technical debt and was approaching end of extended support for key components. A formal risk assessment commissioned by the CTO identified the following critical problems:</w:t>
      </w:r>
    </w:p>
    <w:p>
      <w:pPr>
        <w:spacing w:before="60" w:after="0"/>
      </w:pPr>
      <w:r>
        <w:t xml:space="preserve"/>
      </w:r>
    </w:p>
    <w:p>
      <w:pPr>
        <w:pStyle w:val="Heading2"/>
        <w:spacing w:before="240" w:after="100"/>
      </w:pPr>
      <w:r>
        <w:rPr>
          <w:rFonts w:ascii="Arial" w:cs="Arial" w:eastAsia="Arial" w:hAnsi="Arial"/>
          <w:b/>
          <w:bCs/>
          <w:color w:val="1A1A2E"/>
          <w:sz w:val="26"/>
          <w:szCs w:val="26"/>
        </w:rPr>
        <w:t xml:space="preserve">2.1 Infrastructure Risks</w:t>
      </w:r>
    </w:p>
    <w:p>
      <w:pPr>
        <w:pStyle w:val="ListParagraph"/>
        <w:numPr>
          <w:ilvl w:val="0"/>
          <w:numId w:val="2"/>
        </w:numPr>
        <w:spacing w:before="40" w:after="40"/>
      </w:pPr>
      <w:r>
        <w:rPr>
          <w:rFonts w:ascii="Arial" w:cs="Arial" w:eastAsia="Arial" w:hAnsi="Arial"/>
          <w:color w:val="000000"/>
          <w:sz w:val="22"/>
          <w:szCs w:val="22"/>
        </w:rPr>
        <w:t xml:space="preserve">Exchange Server 2013 reached End of Extended Support on April 11, 2023. No further security patches, cumulative updates, or vulnerability remediation would be available from Microsoft, leaving 850 mailboxes exposed to unpatched CVEs.</w:t>
      </w:r>
    </w:p>
    <w:p>
      <w:pPr>
        <w:pStyle w:val="ListParagraph"/>
        <w:numPr>
          <w:ilvl w:val="0"/>
          <w:numId w:val="2"/>
        </w:numPr>
        <w:spacing w:before="40" w:after="40"/>
      </w:pPr>
      <w:r>
        <w:rPr>
          <w:rFonts w:ascii="Arial" w:cs="Arial" w:eastAsia="Arial" w:hAnsi="Arial"/>
          <w:color w:val="000000"/>
          <w:sz w:val="22"/>
          <w:szCs w:val="22"/>
        </w:rPr>
        <w:t xml:space="preserve">The on-premises mail infrastructure experienced an average of 2.3 unplanned outages per quarter, with a mean recovery time of 4.1 hours — resulting in an estimated $180,000 in lost productivity annually.</w:t>
      </w:r>
    </w:p>
    <w:p>
      <w:pPr>
        <w:pStyle w:val="ListParagraph"/>
        <w:numPr>
          <w:ilvl w:val="0"/>
          <w:numId w:val="2"/>
        </w:numPr>
        <w:spacing w:before="40" w:after="40"/>
      </w:pPr>
      <w:r>
        <w:rPr>
          <w:rFonts w:ascii="Arial" w:cs="Arial" w:eastAsia="Arial" w:hAnsi="Arial"/>
          <w:color w:val="000000"/>
          <w:sz w:val="22"/>
          <w:szCs w:val="22"/>
        </w:rPr>
        <w:t xml:space="preserve">Skype for Business 2015 was scheduled for end of mainstream support, with no viable upgrade path without a cloud transition.</w:t>
      </w:r>
    </w:p>
    <w:p>
      <w:pPr>
        <w:pStyle w:val="ListParagraph"/>
        <w:numPr>
          <w:ilvl w:val="0"/>
          <w:numId w:val="2"/>
        </w:numPr>
        <w:spacing w:before="40" w:after="40"/>
      </w:pPr>
      <w:r>
        <w:rPr>
          <w:rFonts w:ascii="Arial" w:cs="Arial" w:eastAsia="Arial" w:hAnsi="Arial"/>
          <w:color w:val="000000"/>
          <w:sz w:val="22"/>
          <w:szCs w:val="22"/>
        </w:rPr>
        <w:t xml:space="preserve">Storage-area network (SAN) hardware hosting Exchange databases was 7 years old and outside vendor support, creating an unquantified risk of catastrophic data loss from storage failure.</w:t>
      </w:r>
    </w:p>
    <w:p>
      <w:pPr>
        <w:spacing w:before="40" w:after="0"/>
      </w:pPr>
      <w:r>
        <w:t xml:space="preserve"/>
      </w:r>
    </w:p>
    <w:p>
      <w:pPr>
        <w:pStyle w:val="Heading2"/>
        <w:spacing w:before="240" w:after="100"/>
      </w:pPr>
      <w:r>
        <w:rPr>
          <w:rFonts w:ascii="Arial" w:cs="Arial" w:eastAsia="Arial" w:hAnsi="Arial"/>
          <w:b/>
          <w:bCs/>
          <w:color w:val="1A1A2E"/>
          <w:sz w:val="26"/>
          <w:szCs w:val="26"/>
        </w:rPr>
        <w:t xml:space="preserve">2.2 Security &amp; Compliance Risks</w:t>
      </w:r>
    </w:p>
    <w:p>
      <w:pPr>
        <w:pStyle w:val="ListParagraph"/>
        <w:numPr>
          <w:ilvl w:val="0"/>
          <w:numId w:val="2"/>
        </w:numPr>
        <w:spacing w:before="40" w:after="40"/>
      </w:pPr>
      <w:r>
        <w:rPr>
          <w:rFonts w:ascii="Arial" w:cs="Arial" w:eastAsia="Arial" w:hAnsi="Arial"/>
          <w:color w:val="000000"/>
          <w:sz w:val="22"/>
          <w:szCs w:val="22"/>
        </w:rPr>
        <w:t xml:space="preserve">No Multi-Factor Authentication (MFA) was enforced on any user account — a direct violation of the company's new ISO 27001 audit requirements.</w:t>
      </w:r>
    </w:p>
    <w:p>
      <w:pPr>
        <w:pStyle w:val="ListParagraph"/>
        <w:numPr>
          <w:ilvl w:val="0"/>
          <w:numId w:val="2"/>
        </w:numPr>
        <w:spacing w:before="40" w:after="40"/>
      </w:pPr>
      <w:r>
        <w:rPr>
          <w:rFonts w:ascii="Arial" w:cs="Arial" w:eastAsia="Arial" w:hAnsi="Arial"/>
          <w:color w:val="000000"/>
          <w:sz w:val="22"/>
          <w:szCs w:val="22"/>
        </w:rPr>
        <w:t xml:space="preserve">Email was not protected by anti-phishing, safe-link scanning, or anti-malware sandboxing; three successful phishing incidents in 18 months had resulted in two credential compromises.</w:t>
      </w:r>
    </w:p>
    <w:p>
      <w:pPr>
        <w:pStyle w:val="ListParagraph"/>
        <w:numPr>
          <w:ilvl w:val="0"/>
          <w:numId w:val="2"/>
        </w:numPr>
        <w:spacing w:before="40" w:after="40"/>
      </w:pPr>
      <w:r>
        <w:rPr>
          <w:rFonts w:ascii="Arial" w:cs="Arial" w:eastAsia="Arial" w:hAnsi="Arial"/>
          <w:color w:val="000000"/>
          <w:sz w:val="22"/>
          <w:szCs w:val="22"/>
        </w:rPr>
        <w:t xml:space="preserve">No Data Loss Prevention (DLP) policies were in place. Sensitive financial data and PII were regularly shared externally via unmonitored email.</w:t>
      </w:r>
    </w:p>
    <w:p>
      <w:pPr>
        <w:pStyle w:val="ListParagraph"/>
        <w:numPr>
          <w:ilvl w:val="0"/>
          <w:numId w:val="2"/>
        </w:numPr>
        <w:spacing w:before="40" w:after="40"/>
      </w:pPr>
      <w:r>
        <w:rPr>
          <w:rFonts w:ascii="Arial" w:cs="Arial" w:eastAsia="Arial" w:hAnsi="Arial"/>
          <w:color w:val="000000"/>
          <w:sz w:val="22"/>
          <w:szCs w:val="22"/>
        </w:rPr>
        <w:t xml:space="preserve">Audit logging was inconsistent and not centralized. Forensic investigation after the credential compromise incidents took 22 days due to fragmented logs.</w:t>
      </w:r>
    </w:p>
    <w:p>
      <w:pPr>
        <w:spacing w:before="40" w:after="0"/>
      </w:pPr>
      <w:r>
        <w:t xml:space="preserve"/>
      </w:r>
    </w:p>
    <w:p>
      <w:pPr>
        <w:pStyle w:val="Heading2"/>
        <w:spacing w:before="240" w:after="100"/>
      </w:pPr>
      <w:r>
        <w:rPr>
          <w:rFonts w:ascii="Arial" w:cs="Arial" w:eastAsia="Arial" w:hAnsi="Arial"/>
          <w:b/>
          <w:bCs/>
          <w:color w:val="1A1A2E"/>
          <w:sz w:val="26"/>
          <w:szCs w:val="26"/>
        </w:rPr>
        <w:t xml:space="preserve">2.3 Operational &amp; Cost Risks</w:t>
      </w:r>
    </w:p>
    <w:p>
      <w:pPr>
        <w:pStyle w:val="ListParagraph"/>
        <w:numPr>
          <w:ilvl w:val="0"/>
          <w:numId w:val="2"/>
        </w:numPr>
        <w:spacing w:before="40" w:after="40"/>
      </w:pPr>
      <w:r>
        <w:rPr>
          <w:rFonts w:ascii="Arial" w:cs="Arial" w:eastAsia="Arial" w:hAnsi="Arial"/>
          <w:color w:val="000000"/>
          <w:sz w:val="22"/>
          <w:szCs w:val="22"/>
        </w:rPr>
        <w:t xml:space="preserve">The IT team of 6 engineers was spending an estimated 40% of their collective time on infrastructure maintenance (patching, backup validation, hardware management) rather than strategic initiatives.</w:t>
      </w:r>
    </w:p>
    <w:p>
      <w:pPr>
        <w:pStyle w:val="ListParagraph"/>
        <w:numPr>
          <w:ilvl w:val="0"/>
          <w:numId w:val="2"/>
        </w:numPr>
        <w:spacing w:before="40" w:after="40"/>
      </w:pPr>
      <w:r>
        <w:rPr>
          <w:rFonts w:ascii="Arial" w:cs="Arial" w:eastAsia="Arial" w:hAnsi="Arial"/>
          <w:color w:val="000000"/>
          <w:sz w:val="22"/>
          <w:szCs w:val="22"/>
        </w:rPr>
        <w:t xml:space="preserve">Remote and hybrid workers experienced degraded performance accessing on-premises resources over VPN — latency averaging 340ms for Outlook, compared to under 50ms achievable with Exchange Online.</w:t>
      </w:r>
    </w:p>
    <w:p>
      <w:pPr>
        <w:pStyle w:val="ListParagraph"/>
        <w:numPr>
          <w:ilvl w:val="0"/>
          <w:numId w:val="2"/>
        </w:numPr>
        <w:spacing w:before="40" w:after="40"/>
      </w:pPr>
      <w:r>
        <w:rPr>
          <w:rFonts w:ascii="Arial" w:cs="Arial" w:eastAsia="Arial" w:hAnsi="Arial"/>
          <w:color w:val="000000"/>
          <w:sz w:val="22"/>
          <w:szCs w:val="22"/>
        </w:rPr>
        <w:t xml:space="preserve">Collaboration was severely fragmented: email on Exchange, file shares on Windows File Server, video conferencing via a third-party vendor, and document collaboration happening on personal Google accounts — creating unmanaged data sprawl.</w:t>
      </w:r>
    </w:p>
    <w:p>
      <w:pPr>
        <w:pStyle w:val="ListParagraph"/>
        <w:numPr>
          <w:ilvl w:val="0"/>
          <w:numId w:val="2"/>
        </w:numPr>
        <w:spacing w:before="40" w:after="40"/>
      </w:pPr>
      <w:r>
        <w:rPr>
          <w:rFonts w:ascii="Arial" w:cs="Arial" w:eastAsia="Arial" w:hAnsi="Arial"/>
          <w:color w:val="000000"/>
          <w:sz w:val="22"/>
          <w:szCs w:val="22"/>
        </w:rPr>
        <w:t xml:space="preserve">Hardware refresh and datacenter hosting costs were projected at $1.4M over the next 3 years if the on-premises model was maintained.</w:t>
      </w:r>
    </w:p>
    <w:p>
      <w:pPr>
        <w:spacing w:before="40" w:after="0"/>
      </w:pPr>
      <w:r>
        <w:t xml:space="preserve"/>
      </w:r>
    </w:p>
    <w:tbl>
      <w:tblPr>
        <w:tblW w:type="dxa" w:w="9360"/>
        <w:tblBorders>
          <w:top w:val="single" w:color="D83B01" w:sz="4"/>
          <w:left w:val="single" w:color="D83B01" w:sz="4"/>
          <w:bottom w:val="single" w:color="D83B01" w:sz="4"/>
          <w:right w:val="single" w:color="D83B01"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D7D7" w:val="clear"/>
            <w:tcMar>
              <w:top w:type="dxa" w:w="80"/>
              <w:left w:type="dxa" w:w="200"/>
              <w:bottom w:type="dxa" w:w="80"/>
              <w:right w:type="dxa" w:w="200"/>
            </w:tcMar>
          </w:tcPr>
          <w:p/>
        </w:tc>
      </w:tr>
    </w:tbl>
    <w:p>
      <w:r>
        <w:br w:type="page"/>
      </w:r>
    </w:p>
    <w:p>
      <w:pPr>
        <w:pStyle w:val="Heading1"/>
        <w:pBdr>
          <w:bottom w:val="single" w:color="0078D4" w:sz="6" w:space="4"/>
        </w:pBdr>
        <w:spacing w:before="320" w:after="160"/>
      </w:pPr>
      <w:r>
        <w:rPr>
          <w:rFonts w:ascii="Arial" w:cs="Arial" w:eastAsia="Arial" w:hAnsi="Arial"/>
          <w:b/>
          <w:bCs/>
          <w:color w:val="0078D4"/>
          <w:sz w:val="32"/>
          <w:szCs w:val="32"/>
        </w:rPr>
        <w:t xml:space="preserve">3. Solution Architecture</w:t>
      </w:r>
    </w:p>
    <w:p>
      <w:pPr>
        <w:spacing w:before="60" w:after="0"/>
      </w:pPr>
      <w:r>
        <w:t xml:space="preserve"/>
      </w:r>
    </w:p>
    <w:p>
      <w:pPr>
        <w:pStyle w:val="Heading2"/>
        <w:spacing w:before="240" w:after="100"/>
      </w:pPr>
      <w:r>
        <w:rPr>
          <w:rFonts w:ascii="Arial" w:cs="Arial" w:eastAsia="Arial" w:hAnsi="Arial"/>
          <w:b/>
          <w:bCs/>
          <w:color w:val="1A1A2E"/>
          <w:sz w:val="26"/>
          <w:szCs w:val="26"/>
        </w:rPr>
        <w:t xml:space="preserve">3.1 Migration Approach: Staged Hybrid Exchange Migration</w:t>
      </w:r>
    </w:p>
    <w:p>
      <w:pPr>
        <w:spacing w:before="40" w:after="0"/>
      </w:pPr>
      <w:r>
        <w:t xml:space="preserve"/>
      </w:r>
    </w:p>
    <w:p>
      <w:pPr>
        <w:spacing w:before="60" w:after="60"/>
      </w:pPr>
      <w:r>
        <w:rPr>
          <w:rFonts w:ascii="Arial" w:cs="Arial" w:eastAsia="Arial" w:hAnsi="Arial"/>
          <w:color w:val="000000"/>
          <w:sz w:val="22"/>
          <w:szCs w:val="22"/>
        </w:rPr>
        <w:t xml:space="preserve">After evaluating three migration methodologies against MGS's risk tolerance, timeline, and user count, the Staged Hybrid approach was selected. The following table documents the evaluation:</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3160"/>
        <w:gridCol w:w="2000"/>
      </w:tblGrid>
      <w:tr>
        <w:tc>
          <w:tcPr>
            <w:tcW w:type="dxa" w:w="220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200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Best For</w:t>
            </w:r>
          </w:p>
        </w:tc>
        <w:tc>
          <w:tcPr>
            <w:tcW w:type="dxa" w:w="316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Key Characteristics</w:t>
            </w:r>
          </w:p>
        </w:tc>
        <w:tc>
          <w:tcPr>
            <w:tcW w:type="dxa" w:w="200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Selected?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Cutover Migration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&lt; 150 mailboxes. Hard cutover in one weekend.</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All mailboxes moved in one pass. MX records changed at end. Simple but high-risk for large orgs.</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 — 850 users exceeds cutover limits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Staged Hybrid Migration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150–5,000+ mailboxes over weeks/months</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Exchange Hybrid coexistence. Mail flows in both directions. Granular batch control. Safest enterprise approach.</w:t>
            </w:r>
          </w:p>
        </w:tc>
        <w:tc>
          <w:tcPr>
            <w:tcW w:type="dxa" w:w="2000"/>
            <w:tcBorders>
              <w:top w:val="single" w:color="CCCCCC" w:sz="1"/>
              <w:left w:val="single" w:color="CCCCCC" w:sz="1"/>
              <w:bottom w:val="single" w:color="CCCCCC" w:sz="1"/>
              <w:right w:val="single" w:color="CCCCCC" w:sz="1"/>
            </w:tcBorders>
            <w:shd w:fill="DFF6DD" w:val="clear"/>
            <w:tcMar>
              <w:top w:type="dxa" w:w="80"/>
              <w:left w:type="dxa" w:w="120"/>
              <w:bottom w:type="dxa" w:w="80"/>
              <w:right w:type="dxa" w:w="120"/>
            </w:tcMar>
          </w:tcPr>
          <w:p>
            <w:r>
              <w:rPr>
                <w:rFonts w:ascii="Arial" w:cs="Arial" w:eastAsia="Arial" w:hAnsi="Arial"/>
                <w:b/>
                <w:bCs/>
                <w:color w:val="107C10"/>
                <w:sz w:val="19"/>
                <w:szCs w:val="19"/>
              </w:rPr>
              <w:t xml:space="preserve">YES ✓ — Selected Method</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IMAP Migration</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Non-Exchange sources (Gmail, Lotus Notes)</w:t>
            </w:r>
          </w:p>
        </w:tc>
        <w:tc>
          <w:tcPr>
            <w:tcW w:type="dxa" w:w="31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Migrates email only — no calendar, contacts, or tasks. No coexistence. Destination tenant must be set up first.</w:t>
            </w:r>
          </w:p>
        </w:tc>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9"/>
                <w:szCs w:val="19"/>
              </w:rPr>
              <w:t xml:space="preserve">NO — Exchange source; full hybrid preferred</w:t>
            </w:r>
          </w:p>
        </w:tc>
      </w:tr>
    </w:tbl>
    <w:p>
      <w:pPr>
        <w:spacing w:before="80" w:after="0"/>
      </w:pPr>
      <w:r>
        <w:t xml:space="preserve"/>
      </w:r>
    </w:p>
    <w:p>
      <w:pPr>
        <w:pStyle w:val="Heading2"/>
        <w:spacing w:before="240" w:after="100"/>
      </w:pPr>
      <w:r>
        <w:rPr>
          <w:rFonts w:ascii="Arial" w:cs="Arial" w:eastAsia="Arial" w:hAnsi="Arial"/>
          <w:b/>
          <w:bCs/>
          <w:color w:val="1A1A2E"/>
          <w:sz w:val="26"/>
          <w:szCs w:val="26"/>
        </w:rPr>
        <w:t xml:space="preserve">3.2 Target Architecture</w:t>
      </w:r>
    </w:p>
    <w:p>
      <w:pPr>
        <w:spacing w:before="40" w:after="0"/>
      </w:pPr>
      <w:r>
        <w:t xml:space="preserve"/>
      </w:r>
    </w:p>
    <w:p>
      <w:pPr>
        <w:spacing w:before="60" w:after="60"/>
      </w:pPr>
      <w:r>
        <w:rPr>
          <w:rFonts w:ascii="Arial" w:cs="Arial" w:eastAsia="Arial" w:hAnsi="Arial"/>
          <w:color w:val="000000"/>
          <w:sz w:val="22"/>
          <w:szCs w:val="22"/>
        </w:rPr>
        <w:t xml:space="preserve">The target Microsoft 365 environment was architected as follows: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Workload</w:t>
            </w:r>
          </w:p>
        </w:tc>
        <w:tc>
          <w:tcPr>
            <w:tcW w:type="dxa" w:w="318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On-Premises (Before)</w:t>
            </w:r>
          </w:p>
        </w:tc>
        <w:tc>
          <w:tcPr>
            <w:tcW w:type="dxa" w:w="318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20"/>
                <w:szCs w:val="20"/>
              </w:rPr>
              <w:t xml:space="preserve">Microsoft 365 (After)</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9"/>
                <w:szCs w:val="19"/>
              </w:rPr>
              <w:t xml:space="preserve">Email &amp; Calendaring</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Exchange Server 2013</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Exchange Online (Plan 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9"/>
                <w:szCs w:val="19"/>
              </w:rPr>
              <w:t xml:space="preserve">File Storage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Windows File Server + DFS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SharePoint Online + OneDrive for Business</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9"/>
                <w:szCs w:val="19"/>
              </w:rPr>
              <w:t xml:space="preserve">Unified Communications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Skype for Business 2015</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Microsoft Teams (Phone System + Calling Plan)</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9"/>
                <w:szCs w:val="19"/>
              </w:rPr>
              <w:t xml:space="preserve">Identity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Active Directory (on-prem only)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Azure AD + AD Connect (Hybrid Identity)</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9"/>
                <w:szCs w:val="19"/>
              </w:rPr>
              <w:t xml:space="preserve">Email Security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None (basic antivirus only)</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Microsoft Defender for Office 365 Plan 2</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9"/>
                <w:szCs w:val="19"/>
              </w:rPr>
              <w:t xml:space="preserve">Device Management</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SCCM (on-prem)</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Microsoft Intune + Co-management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9"/>
                <w:szCs w:val="19"/>
              </w:rPr>
              <w:t xml:space="preserve">Collaboration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Fragmented (email + personal tools)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Microsoft 365 Apps + Teams + SharePoint</w:t>
            </w:r>
          </w:p>
        </w:tc>
      </w:tr>
      <w:tr>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9"/>
                <w:szCs w:val="19"/>
              </w:rPr>
              <w:t xml:space="preserve">Archiving &amp; Compliance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None</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9"/>
                <w:szCs w:val="19"/>
              </w:rPr>
              <w:t xml:space="preserve">Exchange Online Archiving + Purview DLP</w:t>
            </w:r>
          </w:p>
        </w:tc>
      </w:tr>
    </w:tbl>
    <w:p>
      <w:pPr>
        <w:spacing w:before="80" w:after="0"/>
      </w:pPr>
      <w:r>
        <w:t xml:space="preserve"/>
      </w:r>
    </w:p>
    <w:p>
      <w:pPr>
        <w:pStyle w:val="Heading2"/>
        <w:spacing w:before="240" w:after="100"/>
      </w:pPr>
      <w:r>
        <w:rPr>
          <w:rFonts w:ascii="Arial" w:cs="Arial" w:eastAsia="Arial" w:hAnsi="Arial"/>
          <w:b/>
          <w:bCs/>
          <w:color w:val="1A1A2E"/>
          <w:sz w:val="26"/>
          <w:szCs w:val="26"/>
        </w:rPr>
        <w:t xml:space="preserve">3.3 Connectivity Architecture</w:t>
      </w:r>
    </w:p>
    <w:p>
      <w:pPr>
        <w:pStyle w:val="ListParagraph"/>
        <w:numPr>
          <w:ilvl w:val="0"/>
          <w:numId w:val="2"/>
        </w:numPr>
        <w:spacing w:before="40" w:after="40"/>
      </w:pPr>
      <w:r>
        <w:rPr>
          <w:rFonts w:ascii="Arial" w:cs="Arial" w:eastAsia="Arial" w:hAnsi="Arial"/>
          <w:color w:val="000000"/>
          <w:sz w:val="22"/>
          <w:szCs w:val="22"/>
        </w:rPr>
        <w:t xml:space="preserve">Azure ExpressRoute (1 Gbps circuit) provisioned from Dubai primary datacenter to Microsoft peering locations — guaranteeing private, low-latency path for migration traffic and production traffic post-cutover.</w:t>
      </w:r>
    </w:p>
    <w:p>
      <w:pPr>
        <w:pStyle w:val="ListParagraph"/>
        <w:numPr>
          <w:ilvl w:val="0"/>
          <w:numId w:val="2"/>
        </w:numPr>
        <w:spacing w:before="40" w:after="40"/>
      </w:pPr>
      <w:r>
        <w:rPr>
          <w:rFonts w:ascii="Arial" w:cs="Arial" w:eastAsia="Arial" w:hAnsi="Arial"/>
          <w:color w:val="000000"/>
          <w:sz w:val="22"/>
          <w:szCs w:val="22"/>
        </w:rPr>
        <w:t xml:space="preserve">Azure AD Connect deployed on a dedicated Windows Server 2022 VM with staging server for failover — synchronizing 850 user objects every 30 minutes.</w:t>
      </w:r>
    </w:p>
    <w:p>
      <w:pPr>
        <w:pStyle w:val="ListParagraph"/>
        <w:numPr>
          <w:ilvl w:val="0"/>
          <w:numId w:val="2"/>
        </w:numPr>
        <w:spacing w:before="40" w:after="40"/>
      </w:pPr>
      <w:r>
        <w:rPr>
          <w:rFonts w:ascii="Arial" w:cs="Arial" w:eastAsia="Arial" w:hAnsi="Arial"/>
          <w:color w:val="000000"/>
          <w:sz w:val="22"/>
          <w:szCs w:val="22"/>
        </w:rPr>
        <w:t xml:space="preserve">Exchange Hybrid Configuration Wizard (HCW) run to establish trust and mail-flow coexistence between on-premises Exchange 2013 and Exchange Online.</w:t>
      </w:r>
    </w:p>
    <w:p>
      <w:pPr>
        <w:pStyle w:val="ListParagraph"/>
        <w:numPr>
          <w:ilvl w:val="0"/>
          <w:numId w:val="2"/>
        </w:numPr>
        <w:spacing w:before="40" w:after="40"/>
      </w:pPr>
      <w:r>
        <w:rPr>
          <w:rFonts w:ascii="Arial" w:cs="Arial" w:eastAsia="Arial" w:hAnsi="Arial"/>
          <w:color w:val="000000"/>
          <w:sz w:val="22"/>
          <w:szCs w:val="22"/>
        </w:rPr>
        <w:t xml:space="preserve">All five regional offices connected via optimized split-tunnel VPN with Microsoft 365 endpoint categories excluded from VPN hair-pinning, per Microsoft's Official Connectivity Principles.</w:t>
      </w:r>
    </w:p>
    <w:p>
      <w:r>
        <w:br w:type="page"/>
      </w:r>
    </w:p>
    <w:p>
      <w:pPr>
        <w:pStyle w:val="Heading1"/>
        <w:pBdr>
          <w:bottom w:val="single" w:color="0078D4" w:sz="6" w:space="4"/>
        </w:pBdr>
        <w:spacing w:before="320" w:after="160"/>
      </w:pPr>
      <w:r>
        <w:rPr>
          <w:rFonts w:ascii="Arial" w:cs="Arial" w:eastAsia="Arial" w:hAnsi="Arial"/>
          <w:b/>
          <w:bCs/>
          <w:color w:val="0078D4"/>
          <w:sz w:val="32"/>
          <w:szCs w:val="32"/>
        </w:rPr>
        <w:t xml:space="preserve">4. Detailed Migration Plan</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8D4" w:val="clear"/>
            <w:tcMar>
              <w:top w:type="dxa" w:w="160"/>
              <w:left w:type="dxa" w:w="300"/>
              <w:bottom w:type="dxa" w:w="160"/>
              <w:right w:type="dxa" w:w="300"/>
            </w:tcMar>
          </w:tcPr>
          <w:p>
            <w:pPr>
              <w:spacing w:before="0" w:after="40"/>
            </w:pPr>
            <w:r>
              <w:rPr>
                <w:rFonts w:ascii="Arial" w:cs="Arial" w:eastAsia="Arial" w:hAnsi="Arial"/>
                <w:b/>
                <w:bCs/>
                <w:caps/>
                <w:color w:val="A8D4F5"/>
                <w:sz w:val="18"/>
                <w:szCs w:val="18"/>
              </w:rPr>
              <w:t xml:space="preserve">PHASE 1</w:t>
            </w:r>
          </w:p>
          <w:p>
            <w:pPr>
              <w:spacing w:before="0" w:after="20"/>
            </w:pPr>
            <w:r>
              <w:rPr>
                <w:rFonts w:ascii="Arial" w:cs="Arial" w:eastAsia="Arial" w:hAnsi="Arial"/>
                <w:b/>
                <w:bCs/>
                <w:color w:val="FFFFFF"/>
                <w:sz w:val="30"/>
                <w:szCs w:val="30"/>
              </w:rPr>
              <w:t xml:space="preserve">Assessment &amp; Planning</w:t>
            </w:r>
          </w:p>
          <w:p>
            <w:pPr>
              <w:spacing w:before="0" w:after="0"/>
            </w:pPr>
            <w:r>
              <w:rPr>
                <w:rFonts w:ascii="Arial" w:cs="Arial" w:eastAsia="Arial" w:hAnsi="Arial"/>
                <w:color w:val="D0E9FF"/>
                <w:sz w:val="20"/>
                <w:szCs w:val="20"/>
              </w:rPr>
              <w:t xml:space="preserve">Weeks 1–3  |  Owner: Cloud Architecture Team</w:t>
            </w:r>
          </w:p>
        </w:tc>
      </w:tr>
    </w:tbl>
    <w:p>
      <w:pPr>
        <w:spacing w:before="60" w:after="0"/>
      </w:pPr>
      <w:r>
        <w:t xml:space="preserve"/>
      </w:r>
    </w:p>
    <w:p>
      <w:pPr>
        <w:pStyle w:val="Heading2"/>
        <w:spacing w:before="240" w:after="100"/>
      </w:pPr>
      <w:r>
        <w:rPr>
          <w:rFonts w:ascii="Arial" w:cs="Arial" w:eastAsia="Arial" w:hAnsi="Arial"/>
          <w:b/>
          <w:bCs/>
          <w:color w:val="1A1A2E"/>
          <w:sz w:val="26"/>
          <w:szCs w:val="26"/>
        </w:rPr>
        <w:t xml:space="preserve">4.1 Environment Discovery &amp; Inventory</w:t>
      </w:r>
    </w:p>
    <w:p>
      <w:pPr>
        <w:spacing w:before="60" w:after="60"/>
      </w:pPr>
      <w:r>
        <w:rPr>
          <w:rFonts w:ascii="Arial" w:cs="Arial" w:eastAsia="Arial" w:hAnsi="Arial"/>
          <w:color w:val="000000"/>
          <w:sz w:val="22"/>
          <w:szCs w:val="22"/>
        </w:rPr>
        <w:t xml:space="preserve">All discovery activities were performed using Microsoft-recommended tooling. No changes were made to the production environment during this phase.</w:t>
      </w:r>
    </w:p>
    <w:p>
      <w:pPr>
        <w:spacing w:before="40" w:after="0"/>
      </w:pPr>
      <w:r>
        <w:t xml:space="preserve"/>
      </w:r>
    </w:p>
    <w:p>
      <w:pPr>
        <w:pStyle w:val="Heading3"/>
        <w:spacing w:before="180" w:after="80"/>
      </w:pPr>
      <w:r>
        <w:rPr>
          <w:rFonts w:ascii="Arial" w:cs="Arial" w:eastAsia="Arial" w:hAnsi="Arial"/>
          <w:b/>
          <w:bCs/>
          <w:color w:val="555555"/>
          <w:sz w:val="22"/>
          <w:szCs w:val="22"/>
        </w:rPr>
        <w:t xml:space="preserve">Step 1 — Run Microsoft 365 Assessment Tools</w:t>
      </w:r>
    </w:p>
    <w:p>
      <w:pPr>
        <w:pStyle w:val="ListParagraph"/>
        <w:numPr>
          <w:ilvl w:val="0"/>
          <w:numId w:val="3"/>
        </w:numPr>
        <w:spacing w:before="40" w:after="40"/>
      </w:pPr>
      <w:r>
        <w:rPr>
          <w:rFonts w:ascii="Arial" w:cs="Arial" w:eastAsia="Arial" w:hAnsi="Arial"/>
          <w:color w:val="000000"/>
          <w:sz w:val="22"/>
          <w:szCs w:val="22"/>
        </w:rPr>
        <w:t xml:space="preserve">Download and execute the Microsoft 365 DST (Deployment Diagnostic Tool) against the Exchange 2013 environment.</w:t>
      </w:r>
    </w:p>
    <w:p>
      <w:pPr>
        <w:pStyle w:val="ListParagraph"/>
        <w:numPr>
          <w:ilvl w:val="0"/>
          <w:numId w:val="3"/>
        </w:numPr>
        <w:spacing w:before="40" w:after="40"/>
      </w:pPr>
      <w:r>
        <w:rPr>
          <w:rFonts w:ascii="Arial" w:cs="Arial" w:eastAsia="Arial" w:hAnsi="Arial"/>
          <w:color w:val="000000"/>
          <w:sz w:val="22"/>
          <w:szCs w:val="22"/>
        </w:rPr>
        <w:t xml:space="preserve">Run Exchange Server Health Checker script to identify configuration drift, deprecated settings, and unsupported objects:</w:t>
      </w:r>
    </w:p>
    <w:p>
      <w:pPr>
        <w:spacing w:before="40" w:after="40"/>
        <w:ind w:left="360"/>
      </w:pPr>
      <w:r>
        <w:rPr>
          <w:rFonts w:ascii="Courier New" w:cs="Courier New" w:eastAsia="Courier New" w:hAnsi="Courier New"/>
          <w:color w:val="C7254E"/>
          <w:sz w:val="18"/>
          <w:szCs w:val="18"/>
        </w:rPr>
        <w:t xml:space="preserve">Invoke-WebRequest https://aka.ms/ExchangeHealthChecker -OutFile ExchangeHealthChecker.ps1</w:t>
      </w:r>
    </w:p>
    <w:p>
      <w:pPr>
        <w:spacing w:before="40" w:after="40"/>
        <w:ind w:left="360"/>
      </w:pPr>
      <w:r>
        <w:rPr>
          <w:rFonts w:ascii="Courier New" w:cs="Courier New" w:eastAsia="Courier New" w:hAnsi="Courier New"/>
          <w:color w:val="C7254E"/>
          <w:sz w:val="18"/>
          <w:szCs w:val="18"/>
        </w:rPr>
        <w:t xml:space="preserve">.\ExchangeHealthChecker.ps1 -Server EXCH01</w:t>
      </w:r>
    </w:p>
    <w:p>
      <w:pPr>
        <w:pStyle w:val="ListParagraph"/>
        <w:numPr>
          <w:ilvl w:val="0"/>
          <w:numId w:val="3"/>
        </w:numPr>
        <w:spacing w:before="40" w:after="40"/>
      </w:pPr>
      <w:r>
        <w:rPr>
          <w:rFonts w:ascii="Arial" w:cs="Arial" w:eastAsia="Arial" w:hAnsi="Arial"/>
          <w:color w:val="000000"/>
          <w:sz w:val="22"/>
          <w:szCs w:val="22"/>
        </w:rPr>
        <w:t xml:space="preserve">Execute the MAPIHTTP readiness check to confirm readiness for hybrid coexistence.</w:t>
      </w:r>
    </w:p>
    <w:p>
      <w:pPr>
        <w:pStyle w:val="ListParagraph"/>
        <w:numPr>
          <w:ilvl w:val="0"/>
          <w:numId w:val="3"/>
        </w:numPr>
        <w:spacing w:before="40" w:after="40"/>
      </w:pPr>
      <w:r>
        <w:rPr>
          <w:rFonts w:ascii="Arial" w:cs="Arial" w:eastAsia="Arial" w:hAnsi="Arial"/>
          <w:color w:val="000000"/>
          <w:sz w:val="22"/>
          <w:szCs w:val="22"/>
        </w:rPr>
        <w:t xml:space="preserve">Run the Microsoft 365 Network Connectivity Test (network.microsoft.com) from each office location to benchmark latency and egress path quality.</w:t>
      </w:r>
    </w:p>
    <w:p>
      <w:pPr>
        <w:spacing w:before="40" w:after="0"/>
      </w:pPr>
      <w:r>
        <w:t xml:space="preserve"/>
      </w:r>
    </w:p>
    <w:p>
      <w:pPr>
        <w:pStyle w:val="Heading3"/>
        <w:spacing w:before="180" w:after="80"/>
      </w:pPr>
      <w:r>
        <w:rPr>
          <w:rFonts w:ascii="Arial" w:cs="Arial" w:eastAsia="Arial" w:hAnsi="Arial"/>
          <w:b/>
          <w:bCs/>
          <w:color w:val="555555"/>
          <w:sz w:val="22"/>
          <w:szCs w:val="22"/>
        </w:rPr>
        <w:t xml:space="preserve">Step 2 — Mailbox Inventory &amp; Classification</w:t>
      </w:r>
    </w:p>
    <w:p>
      <w:pPr>
        <w:pStyle w:val="ListParagraph"/>
        <w:numPr>
          <w:ilvl w:val="0"/>
          <w:numId w:val="3"/>
        </w:numPr>
        <w:spacing w:before="40" w:after="40"/>
      </w:pPr>
      <w:r>
        <w:rPr>
          <w:rFonts w:ascii="Arial" w:cs="Arial" w:eastAsia="Arial" w:hAnsi="Arial"/>
          <w:color w:val="000000"/>
          <w:sz w:val="22"/>
          <w:szCs w:val="22"/>
        </w:rPr>
        <w:t xml:space="preserve">Connect to on-premises Exchange Management Shell and export full mailbox inventory:</w:t>
      </w:r>
    </w:p>
    <w:p>
      <w:pPr>
        <w:spacing w:before="40" w:after="40"/>
        <w:ind w:left="360"/>
      </w:pPr>
      <w:r>
        <w:rPr>
          <w:rFonts w:ascii="Courier New" w:cs="Courier New" w:eastAsia="Courier New" w:hAnsi="Courier New"/>
          <w:color w:val="C7254E"/>
          <w:sz w:val="18"/>
          <w:szCs w:val="18"/>
        </w:rPr>
        <w:t xml:space="preserve">Get-Mailbox -ResultSize Unlimited | Select DisplayName,PrimarySmtpAddress,TotalItemSize,Database | Export-Csv C:\Inventory\Mailboxes.csv</w:t>
      </w:r>
    </w:p>
    <w:p>
      <w:pPr>
        <w:pStyle w:val="ListParagraph"/>
        <w:numPr>
          <w:ilvl w:val="0"/>
          <w:numId w:val="3"/>
        </w:numPr>
        <w:spacing w:before="40" w:after="40"/>
      </w:pPr>
      <w:r>
        <w:rPr>
          <w:rFonts w:ascii="Arial" w:cs="Arial" w:eastAsia="Arial" w:hAnsi="Arial"/>
          <w:color w:val="000000"/>
          <w:sz w:val="22"/>
          <w:szCs w:val="22"/>
        </w:rPr>
        <w:t xml:space="preserve">Identify mailboxes exceeding 50 GB (require special handling — archive-first strategy).</w:t>
      </w:r>
    </w:p>
    <w:p>
      <w:pPr>
        <w:pStyle w:val="ListParagraph"/>
        <w:numPr>
          <w:ilvl w:val="0"/>
          <w:numId w:val="3"/>
        </w:numPr>
        <w:spacing w:before="40" w:after="40"/>
      </w:pPr>
      <w:r>
        <w:rPr>
          <w:rFonts w:ascii="Arial" w:cs="Arial" w:eastAsia="Arial" w:hAnsi="Arial"/>
          <w:color w:val="000000"/>
          <w:sz w:val="22"/>
          <w:szCs w:val="22"/>
        </w:rPr>
        <w:t xml:space="preserve">Enumerate shared mailboxes, room mailboxes, equipment mailboxes, and distribution groups:</w:t>
      </w:r>
    </w:p>
    <w:p>
      <w:pPr>
        <w:spacing w:before="40" w:after="40"/>
        <w:ind w:left="360"/>
      </w:pPr>
      <w:r>
        <w:rPr>
          <w:rFonts w:ascii="Courier New" w:cs="Courier New" w:eastAsia="Courier New" w:hAnsi="Courier New"/>
          <w:color w:val="C7254E"/>
          <w:sz w:val="18"/>
          <w:szCs w:val="18"/>
        </w:rPr>
        <w:t xml:space="preserve">Get-Mailbox -RecipientTypeDetails SharedMailbox | Export-Csv C:\Inventory\SharedMailboxes.csv</w:t>
      </w:r>
    </w:p>
    <w:p>
      <w:pPr>
        <w:spacing w:before="40" w:after="40"/>
        <w:ind w:left="360"/>
      </w:pPr>
      <w:r>
        <w:rPr>
          <w:rFonts w:ascii="Courier New" w:cs="Courier New" w:eastAsia="Courier New" w:hAnsi="Courier New"/>
          <w:color w:val="C7254E"/>
          <w:sz w:val="18"/>
          <w:szCs w:val="18"/>
        </w:rPr>
        <w:t xml:space="preserve">Get-DistributionGroup -ResultSize Unlimited | Export-Csv C:\Inventory\DistGroups.csv</w:t>
      </w:r>
    </w:p>
    <w:p>
      <w:pPr>
        <w:pStyle w:val="ListParagraph"/>
        <w:numPr>
          <w:ilvl w:val="0"/>
          <w:numId w:val="3"/>
        </w:numPr>
        <w:spacing w:before="40" w:after="40"/>
      </w:pPr>
      <w:r>
        <w:rPr>
          <w:rFonts w:ascii="Arial" w:cs="Arial" w:eastAsia="Arial" w:hAnsi="Arial"/>
          <w:color w:val="000000"/>
          <w:sz w:val="22"/>
          <w:szCs w:val="22"/>
        </w:rPr>
        <w:t xml:space="preserve">Document all mail-enabled public folders (migration to Exchange Online public folders or SharePoint required).</w:t>
      </w:r>
    </w:p>
    <w:p>
      <w:pPr>
        <w:pStyle w:val="ListParagraph"/>
        <w:numPr>
          <w:ilvl w:val="0"/>
          <w:numId w:val="3"/>
        </w:numPr>
        <w:spacing w:before="40" w:after="40"/>
      </w:pPr>
      <w:r>
        <w:rPr>
          <w:rFonts w:ascii="Arial" w:cs="Arial" w:eastAsia="Arial" w:hAnsi="Arial"/>
          <w:color w:val="000000"/>
          <w:sz w:val="22"/>
          <w:szCs w:val="22"/>
        </w:rPr>
        <w:t xml:space="preserve">Identify any journaling rules, transport rules, and retention policies to be replicated in Exchange Online.</w:t>
      </w:r>
    </w:p>
    <w:p>
      <w:pPr>
        <w:spacing w:before="40" w:after="0"/>
      </w:pPr>
      <w:r>
        <w:t xml:space="preserve"/>
      </w:r>
    </w:p>
    <w:p>
      <w:pPr>
        <w:pStyle w:val="Heading3"/>
        <w:spacing w:before="180" w:after="80"/>
      </w:pPr>
      <w:r>
        <w:rPr>
          <w:rFonts w:ascii="Arial" w:cs="Arial" w:eastAsia="Arial" w:hAnsi="Arial"/>
          <w:b/>
          <w:bCs/>
          <w:color w:val="555555"/>
          <w:sz w:val="22"/>
          <w:szCs w:val="22"/>
        </w:rPr>
        <w:t xml:space="preserve">Step 3 — File Server Inventory</w:t>
      </w:r>
    </w:p>
    <w:p>
      <w:pPr>
        <w:pStyle w:val="ListParagraph"/>
        <w:numPr>
          <w:ilvl w:val="0"/>
          <w:numId w:val="3"/>
        </w:numPr>
        <w:spacing w:before="40" w:after="40"/>
      </w:pPr>
      <w:r>
        <w:rPr>
          <w:rFonts w:ascii="Arial" w:cs="Arial" w:eastAsia="Arial" w:hAnsi="Arial"/>
          <w:color w:val="000000"/>
          <w:sz w:val="22"/>
          <w:szCs w:val="22"/>
        </w:rPr>
        <w:t xml:space="preserve">Run SharePoint Migration Tool (SPMT) assessment scan against all NTFS file share paths:</w:t>
      </w:r>
    </w:p>
    <w:p>
      <w:pPr>
        <w:spacing w:before="40" w:after="40"/>
        <w:ind w:left="360"/>
      </w:pPr>
      <w:r>
        <w:rPr>
          <w:rFonts w:ascii="Courier New" w:cs="Courier New" w:eastAsia="Courier New" w:hAnsi="Courier New"/>
          <w:color w:val="C7254E"/>
          <w:sz w:val="18"/>
          <w:szCs w:val="18"/>
        </w:rPr>
        <w:t xml:space="preserve">Start-SPMTMigration -SPOCredential $cred -SourcePath \\FS01\Shares -TargetWebURL https://tenant.sharepoint.com/sites/MGS</w:t>
      </w:r>
    </w:p>
    <w:p>
      <w:pPr>
        <w:pStyle w:val="ListParagraph"/>
        <w:numPr>
          <w:ilvl w:val="0"/>
          <w:numId w:val="3"/>
        </w:numPr>
        <w:spacing w:before="40" w:after="40"/>
      </w:pPr>
      <w:r>
        <w:rPr>
          <w:rFonts w:ascii="Arial" w:cs="Arial" w:eastAsia="Arial" w:hAnsi="Arial"/>
          <w:color w:val="000000"/>
          <w:sz w:val="22"/>
          <w:szCs w:val="22"/>
        </w:rPr>
        <w:t xml:space="preserve">Document folder structure, total size, file counts, and identify files with long paths (&gt;260 characters) — these require remediation before migration.</w:t>
      </w:r>
    </w:p>
    <w:p>
      <w:pPr>
        <w:pStyle w:val="ListParagraph"/>
        <w:numPr>
          <w:ilvl w:val="0"/>
          <w:numId w:val="3"/>
        </w:numPr>
        <w:spacing w:before="40" w:after="40"/>
      </w:pPr>
      <w:r>
        <w:rPr>
          <w:rFonts w:ascii="Arial" w:cs="Arial" w:eastAsia="Arial" w:hAnsi="Arial"/>
          <w:color w:val="000000"/>
          <w:sz w:val="22"/>
          <w:szCs w:val="22"/>
        </w:rPr>
        <w:t xml:space="preserve">Review NTFS permissions using the AccessEnum tool to map folder-level ACLs to SharePoint permissions groups.</w:t>
      </w:r>
    </w:p>
    <w:p>
      <w:pPr>
        <w:spacing w:before="40" w:after="0"/>
      </w:pPr>
      <w:r>
        <w:t xml:space="preserve"/>
      </w:r>
    </w:p>
    <w:p>
      <w:pPr>
        <w:pStyle w:val="Heading3"/>
        <w:spacing w:before="180" w:after="80"/>
      </w:pPr>
      <w:r>
        <w:rPr>
          <w:rFonts w:ascii="Arial" w:cs="Arial" w:eastAsia="Arial" w:hAnsi="Arial"/>
          <w:b/>
          <w:bCs/>
          <w:color w:val="555555"/>
          <w:sz w:val="22"/>
          <w:szCs w:val="22"/>
        </w:rPr>
        <w:t xml:space="preserve">Step 4 — Identity &amp; Directory Audit</w:t>
      </w:r>
    </w:p>
    <w:p>
      <w:pPr>
        <w:pStyle w:val="ListParagraph"/>
        <w:numPr>
          <w:ilvl w:val="0"/>
          <w:numId w:val="3"/>
        </w:numPr>
        <w:spacing w:before="40" w:after="40"/>
      </w:pPr>
      <w:r>
        <w:rPr>
          <w:rFonts w:ascii="Arial" w:cs="Arial" w:eastAsia="Arial" w:hAnsi="Arial"/>
          <w:color w:val="000000"/>
          <w:sz w:val="22"/>
          <w:szCs w:val="22"/>
        </w:rPr>
        <w:t xml:space="preserve">Export all Active Directory user accounts with relevant attributes (UPN, email, proxy addresses):</w:t>
      </w:r>
    </w:p>
    <w:p>
      <w:pPr>
        <w:spacing w:before="40" w:after="40"/>
        <w:ind w:left="360"/>
      </w:pPr>
      <w:r>
        <w:rPr>
          <w:rFonts w:ascii="Courier New" w:cs="Courier New" w:eastAsia="Courier New" w:hAnsi="Courier New"/>
          <w:color w:val="C7254E"/>
          <w:sz w:val="18"/>
          <w:szCs w:val="18"/>
        </w:rPr>
        <w:t xml:space="preserve">Get-ADUser -Filter * -Properties * | Select Name,UserPrincipalName,EmailAddress,ProxyAddresses | Export-Csv C:\Inventory\ADUsers.csv</w:t>
      </w:r>
    </w:p>
    <w:p>
      <w:pPr>
        <w:pStyle w:val="ListParagraph"/>
        <w:numPr>
          <w:ilvl w:val="0"/>
          <w:numId w:val="3"/>
        </w:numPr>
        <w:spacing w:before="40" w:after="40"/>
      </w:pPr>
      <w:r>
        <w:rPr>
          <w:rFonts w:ascii="Arial" w:cs="Arial" w:eastAsia="Arial" w:hAnsi="Arial"/>
          <w:color w:val="000000"/>
          <w:sz w:val="22"/>
          <w:szCs w:val="22"/>
        </w:rPr>
        <w:t xml:space="preserve">Identify duplicate proxy addresses, non-routable UPN suffixes (e.g., .local domains), and accounts without valid email addresses.</w:t>
      </w:r>
    </w:p>
    <w:p>
      <w:pPr>
        <w:pStyle w:val="ListParagraph"/>
        <w:numPr>
          <w:ilvl w:val="0"/>
          <w:numId w:val="3"/>
        </w:numPr>
        <w:spacing w:before="40" w:after="40"/>
      </w:pPr>
      <w:r>
        <w:rPr>
          <w:rFonts w:ascii="Arial" w:cs="Arial" w:eastAsia="Arial" w:hAnsi="Arial"/>
          <w:color w:val="000000"/>
          <w:sz w:val="22"/>
          <w:szCs w:val="22"/>
        </w:rPr>
        <w:t xml:space="preserve">Remediate UPN suffixes: rename all accounts from user@mgs.local to user@meridiangs.com before running Azure AD Connect.</w:t>
      </w:r>
    </w:p>
    <w:p>
      <w:pPr>
        <w:pStyle w:val="ListParagraph"/>
        <w:numPr>
          <w:ilvl w:val="0"/>
          <w:numId w:val="3"/>
        </w:numPr>
        <w:spacing w:before="40" w:after="40"/>
      </w:pPr>
      <w:r>
        <w:rPr>
          <w:rFonts w:ascii="Arial" w:cs="Arial" w:eastAsia="Arial" w:hAnsi="Arial"/>
          <w:color w:val="000000"/>
          <w:sz w:val="22"/>
          <w:szCs w:val="22"/>
        </w:rPr>
        <w:t xml:space="preserve">Run Microsoft IdFix tool to detect and auto-remediate directory synchronization errors before AAD Connect deployment:</w:t>
      </w:r>
    </w:p>
    <w:p>
      <w:pPr>
        <w:spacing w:before="40" w:after="40"/>
        <w:ind w:left="360"/>
      </w:pPr>
      <w:r>
        <w:rPr>
          <w:rFonts w:ascii="Courier New" w:cs="Courier New" w:eastAsia="Courier New" w:hAnsi="Courier New"/>
          <w:color w:val="C7254E"/>
          <w:sz w:val="18"/>
          <w:szCs w:val="18"/>
        </w:rPr>
        <w:t xml:space="preserve">.\IdFix.exe</w:t>
      </w:r>
    </w:p>
    <w:p>
      <w:pPr>
        <w:spacing w:before="40" w:after="0"/>
      </w:pPr>
      <w:r>
        <w:t xml:space="preserve"/>
      </w:r>
    </w:p>
    <w:p>
      <w:pPr>
        <w:pStyle w:val="Heading3"/>
        <w:spacing w:before="180" w:after="80"/>
      </w:pPr>
      <w:r>
        <w:rPr>
          <w:rFonts w:ascii="Arial" w:cs="Arial" w:eastAsia="Arial" w:hAnsi="Arial"/>
          <w:b/>
          <w:bCs/>
          <w:color w:val="555555"/>
          <w:sz w:val="22"/>
          <w:szCs w:val="22"/>
        </w:rPr>
        <w:t xml:space="preserve">Step 5 — Deliverables &amp; Sign-Off</w:t>
      </w:r>
    </w:p>
    <w:p>
      <w:pPr>
        <w:pStyle w:val="ListParagraph"/>
        <w:numPr>
          <w:ilvl w:val="0"/>
          <w:numId w:val="2"/>
        </w:numPr>
        <w:spacing w:before="40" w:after="40"/>
      </w:pPr>
      <w:r>
        <w:rPr>
          <w:rFonts w:ascii="Arial" w:cs="Arial" w:eastAsia="Arial" w:hAnsi="Arial"/>
          <w:color w:val="000000"/>
          <w:sz w:val="22"/>
          <w:szCs w:val="22"/>
        </w:rPr>
        <w:t xml:space="preserve">Migration Readiness Report (MRR) — distributed to CTO and IT Director for formal sign-off</w:t>
      </w:r>
    </w:p>
    <w:p>
      <w:pPr>
        <w:pStyle w:val="ListParagraph"/>
        <w:numPr>
          <w:ilvl w:val="0"/>
          <w:numId w:val="2"/>
        </w:numPr>
        <w:spacing w:before="40" w:after="40"/>
      </w:pPr>
      <w:r>
        <w:rPr>
          <w:rFonts w:ascii="Arial" w:cs="Arial" w:eastAsia="Arial" w:hAnsi="Arial"/>
          <w:color w:val="000000"/>
          <w:sz w:val="22"/>
          <w:szCs w:val="22"/>
        </w:rPr>
        <w:t xml:space="preserve">Mailbox Tier Classification (Tier 1: VIP/Exec, Tier 2: Standard, Tier 3: Shared/Room)</w:t>
      </w:r>
    </w:p>
    <w:p>
      <w:pPr>
        <w:pStyle w:val="ListParagraph"/>
        <w:numPr>
          <w:ilvl w:val="0"/>
          <w:numId w:val="2"/>
        </w:numPr>
        <w:spacing w:before="40" w:after="40"/>
      </w:pPr>
      <w:r>
        <w:rPr>
          <w:rFonts w:ascii="Arial" w:cs="Arial" w:eastAsia="Arial" w:hAnsi="Arial"/>
          <w:color w:val="000000"/>
          <w:sz w:val="22"/>
          <w:szCs w:val="22"/>
        </w:rPr>
        <w:t xml:space="preserve">File Share Remediation List (long paths, special characters, zero-byte files)</w:t>
      </w:r>
    </w:p>
    <w:p>
      <w:pPr>
        <w:pStyle w:val="ListParagraph"/>
        <w:numPr>
          <w:ilvl w:val="0"/>
          <w:numId w:val="2"/>
        </w:numPr>
        <w:spacing w:before="40" w:after="40"/>
      </w:pPr>
      <w:r>
        <w:rPr>
          <w:rFonts w:ascii="Arial" w:cs="Arial" w:eastAsia="Arial" w:hAnsi="Arial"/>
          <w:color w:val="000000"/>
          <w:sz w:val="22"/>
          <w:szCs w:val="22"/>
        </w:rPr>
        <w:t xml:space="preserve">Migration batch schedule (draft — 10 batches of ~85 users, weekend windows)</w:t>
      </w:r>
    </w:p>
    <w:p>
      <w:pPr>
        <w:pStyle w:val="ListParagraph"/>
        <w:numPr>
          <w:ilvl w:val="0"/>
          <w:numId w:val="2"/>
        </w:numPr>
        <w:spacing w:before="40" w:after="40"/>
      </w:pPr>
      <w:r>
        <w:rPr>
          <w:rFonts w:ascii="Arial" w:cs="Arial" w:eastAsia="Arial" w:hAnsi="Arial"/>
          <w:color w:val="000000"/>
          <w:sz w:val="22"/>
          <w:szCs w:val="22"/>
        </w:rPr>
        <w:t xml:space="preserve">Go/No-Go decision gate: Proceed to Phase 2 only upon written approval from CTO</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8D4" w:val="clear"/>
            <w:tcMar>
              <w:top w:type="dxa" w:w="160"/>
              <w:left w:type="dxa" w:w="300"/>
              <w:bottom w:type="dxa" w:w="160"/>
              <w:right w:type="dxa" w:w="300"/>
            </w:tcMar>
          </w:tcPr>
          <w:p>
            <w:pPr>
              <w:spacing w:before="0" w:after="40"/>
            </w:pPr>
            <w:r>
              <w:rPr>
                <w:rFonts w:ascii="Arial" w:cs="Arial" w:eastAsia="Arial" w:hAnsi="Arial"/>
                <w:b/>
                <w:bCs/>
                <w:caps/>
                <w:color w:val="A8D4F5"/>
                <w:sz w:val="18"/>
                <w:szCs w:val="18"/>
              </w:rPr>
              <w:t xml:space="preserve">PHASE 2</w:t>
            </w:r>
          </w:p>
          <w:p>
            <w:pPr>
              <w:spacing w:before="0" w:after="20"/>
            </w:pPr>
            <w:r>
              <w:rPr>
                <w:rFonts w:ascii="Arial" w:cs="Arial" w:eastAsia="Arial" w:hAnsi="Arial"/>
                <w:b/>
                <w:bCs/>
                <w:color w:val="FFFFFF"/>
                <w:sz w:val="30"/>
                <w:szCs w:val="30"/>
              </w:rPr>
              <w:t xml:space="preserve">Preparation &amp; Configuration</w:t>
            </w:r>
          </w:p>
          <w:p>
            <w:pPr>
              <w:spacing w:before="0" w:after="0"/>
            </w:pPr>
            <w:r>
              <w:rPr>
                <w:rFonts w:ascii="Arial" w:cs="Arial" w:eastAsia="Arial" w:hAnsi="Arial"/>
                <w:color w:val="D0E9FF"/>
                <w:sz w:val="20"/>
                <w:szCs w:val="20"/>
              </w:rPr>
              <w:t xml:space="preserve">Weeks 4–7  |  Owner: Cloud Engineering Team</w:t>
            </w:r>
          </w:p>
        </w:tc>
      </w:tr>
    </w:tbl>
    <w:p>
      <w:pPr>
        <w:spacing w:before="60" w:after="0"/>
      </w:pPr>
      <w:r>
        <w:t xml:space="preserve"/>
      </w:r>
    </w:p>
    <w:p>
      <w:pPr>
        <w:pStyle w:val="Heading2"/>
        <w:spacing w:before="240" w:after="100"/>
      </w:pPr>
      <w:r>
        <w:rPr>
          <w:rFonts w:ascii="Arial" w:cs="Arial" w:eastAsia="Arial" w:hAnsi="Arial"/>
          <w:b/>
          <w:bCs/>
          <w:color w:val="1A1A2E"/>
          <w:sz w:val="26"/>
          <w:szCs w:val="26"/>
        </w:rPr>
        <w:t xml:space="preserve">4.2 Microsoft 365 Tenant Configuration</w:t>
      </w:r>
    </w:p>
    <w:p>
      <w:pPr>
        <w:pStyle w:val="Heading3"/>
        <w:spacing w:before="180" w:after="80"/>
      </w:pPr>
      <w:r>
        <w:rPr>
          <w:rFonts w:ascii="Arial" w:cs="Arial" w:eastAsia="Arial" w:hAnsi="Arial"/>
          <w:b/>
          <w:bCs/>
          <w:color w:val="555555"/>
          <w:sz w:val="22"/>
          <w:szCs w:val="22"/>
        </w:rPr>
        <w:t xml:space="preserve">Step 1 — Tenant Provisioning &amp; Domain Verification</w:t>
      </w:r>
    </w:p>
    <w:p>
      <w:pPr>
        <w:pStyle w:val="ListParagraph"/>
        <w:numPr>
          <w:ilvl w:val="0"/>
          <w:numId w:val="3"/>
        </w:numPr>
        <w:spacing w:before="40" w:after="40"/>
      </w:pPr>
      <w:r>
        <w:rPr>
          <w:rFonts w:ascii="Arial" w:cs="Arial" w:eastAsia="Arial" w:hAnsi="Arial"/>
          <w:color w:val="000000"/>
          <w:sz w:val="22"/>
          <w:szCs w:val="22"/>
        </w:rPr>
        <w:t xml:space="preserve">Provision Microsoft 365 tenant at admin.microsoft.com. Select the datacenter region matching the primary office location (UAE/EMEA).</w:t>
      </w:r>
    </w:p>
    <w:p>
      <w:pPr>
        <w:pStyle w:val="ListParagraph"/>
        <w:numPr>
          <w:ilvl w:val="0"/>
          <w:numId w:val="3"/>
        </w:numPr>
        <w:spacing w:before="40" w:after="40"/>
      </w:pPr>
      <w:r>
        <w:rPr>
          <w:rFonts w:ascii="Arial" w:cs="Arial" w:eastAsia="Arial" w:hAnsi="Arial"/>
          <w:color w:val="000000"/>
          <w:sz w:val="22"/>
          <w:szCs w:val="22"/>
        </w:rPr>
        <w:t xml:space="preserve">Add and verify all SMTP domains (meridiangs.com + all subdomains) via DNS TXT record:</w:t>
      </w:r>
    </w:p>
    <w:p>
      <w:pPr>
        <w:spacing w:before="40" w:after="40"/>
        <w:ind w:left="360"/>
      </w:pPr>
      <w:r>
        <w:rPr>
          <w:rFonts w:ascii="Courier New" w:cs="Courier New" w:eastAsia="Courier New" w:hAnsi="Courier New"/>
          <w:color w:val="C7254E"/>
          <w:sz w:val="18"/>
          <w:szCs w:val="18"/>
        </w:rPr>
        <w:t xml:space="preserve">TXT Record: MS=ms########  (provided by M365 Admin Center)</w:t>
      </w:r>
    </w:p>
    <w:p>
      <w:pPr>
        <w:pStyle w:val="ListParagraph"/>
        <w:numPr>
          <w:ilvl w:val="0"/>
          <w:numId w:val="3"/>
        </w:numPr>
        <w:spacing w:before="40" w:after="40"/>
      </w:pPr>
      <w:r>
        <w:rPr>
          <w:rFonts w:ascii="Arial" w:cs="Arial" w:eastAsia="Arial" w:hAnsi="Arial"/>
          <w:color w:val="000000"/>
          <w:sz w:val="22"/>
          <w:szCs w:val="22"/>
        </w:rPr>
        <w:t xml:space="preserve">Configure tenant settings: disable self-service purchases, configure organization name, set default language and timezone.</w:t>
      </w:r>
    </w:p>
    <w:p>
      <w:pPr>
        <w:pStyle w:val="ListParagraph"/>
        <w:numPr>
          <w:ilvl w:val="0"/>
          <w:numId w:val="3"/>
        </w:numPr>
        <w:spacing w:before="40" w:after="40"/>
      </w:pPr>
      <w:r>
        <w:rPr>
          <w:rFonts w:ascii="Arial" w:cs="Arial" w:eastAsia="Arial" w:hAnsi="Arial"/>
          <w:color w:val="000000"/>
          <w:sz w:val="22"/>
          <w:szCs w:val="22"/>
        </w:rPr>
        <w:t xml:space="preserve">Enable Unified Audit Logging immediately — this is disabled by default and critical for compliance:</w:t>
      </w:r>
    </w:p>
    <w:p>
      <w:pPr>
        <w:spacing w:before="40" w:after="40"/>
        <w:ind w:left="360"/>
      </w:pPr>
      <w:r>
        <w:rPr>
          <w:rFonts w:ascii="Courier New" w:cs="Courier New" w:eastAsia="Courier New" w:hAnsi="Courier New"/>
          <w:color w:val="C7254E"/>
          <w:sz w:val="18"/>
          <w:szCs w:val="18"/>
        </w:rPr>
        <w:t xml:space="preserve">Set-AdminAuditLogConfig -UnifiedAuditLogIngestionEnabled $true</w:t>
      </w:r>
    </w:p>
    <w:p>
      <w:pPr>
        <w:spacing w:before="40" w:after="0"/>
      </w:pPr>
      <w:r>
        <w:t xml:space="preserve"/>
      </w:r>
    </w:p>
    <w:p>
      <w:pPr>
        <w:pStyle w:val="Heading3"/>
        <w:spacing w:before="180" w:after="80"/>
      </w:pPr>
      <w:r>
        <w:rPr>
          <w:rFonts w:ascii="Arial" w:cs="Arial" w:eastAsia="Arial" w:hAnsi="Arial"/>
          <w:b/>
          <w:bCs/>
          <w:color w:val="555555"/>
          <w:sz w:val="22"/>
          <w:szCs w:val="22"/>
        </w:rPr>
        <w:t xml:space="preserve">Step 2 — DNS Configuration</w:t>
      </w:r>
    </w:p>
    <w:p>
      <w:pPr>
        <w:spacing w:before="60" w:after="60"/>
      </w:pPr>
      <w:r>
        <w:rPr>
          <w:rFonts w:ascii="Arial" w:cs="Arial" w:eastAsia="Arial" w:hAnsi="Arial"/>
          <w:color w:val="000000"/>
          <w:sz w:val="22"/>
          <w:szCs w:val="22"/>
        </w:rPr>
        <w:t xml:space="preserve">DNS changes are staged in advance and executed with a 300-second TTL reduction 48 hours before MX record cutover: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19"/>
                <w:szCs w:val="19"/>
              </w:rPr>
              <w:t xml:space="preserve">Record Type</w:t>
            </w:r>
          </w:p>
        </w:tc>
        <w:tc>
          <w:tcPr>
            <w:tcW w:type="dxa" w:w="150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19"/>
                <w:szCs w:val="19"/>
              </w:rPr>
              <w:t xml:space="preserve">Name</w:t>
            </w:r>
          </w:p>
        </w:tc>
        <w:tc>
          <w:tcPr>
            <w:tcW w:type="dxa" w:w="150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19"/>
                <w:szCs w:val="19"/>
              </w:rPr>
              <w:t xml:space="preserve">Value</w:t>
            </w:r>
          </w:p>
        </w:tc>
        <w:tc>
          <w:tcPr>
            <w:tcW w:type="dxa" w:w="436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19"/>
                <w:szCs w:val="19"/>
              </w:rPr>
              <w:t xml:space="preserve">Purpose</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MX</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meridiangs-com.mail.protection.outlook.com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Route inbound mail to Exchange Online (Day 1 of migration)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TXT (SPF)</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v=spf1 include:spf.protection.outlook.com -all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Authorize M365 to send on behalf of domain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CNAME (Autodiscover)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autodiscover</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autodiscover.outlook.com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Automatic Outlook profile configuration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CNAME (MSOID)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msoid</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clientconfig.microsoftonline-p.net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Microsoft Online sign-in</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TXT (DKIM)</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selector1._domainkey</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M365 DKIM key (generated in Security portal)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Email signing for anti-spoofing</w:t>
            </w:r>
          </w:p>
        </w:tc>
      </w:tr>
      <w:tr>
        <w:tc>
          <w:tcPr>
            <w:tcW w:type="dxa" w:w="2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TXT (DMARC)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_dmarc</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v=DMARC1; p=quarantine; pct=100; rua=mailto:dmarc@meridiangs.com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Email authentication policy enforcement</w:t>
            </w:r>
          </w:p>
        </w:tc>
      </w:tr>
    </w:tbl>
    <w:p>
      <w:pPr>
        <w:spacing w:before="40" w:after="0"/>
      </w:pPr>
      <w:r>
        <w:t xml:space="preserve"/>
      </w:r>
    </w:p>
    <w:p>
      <w:pPr>
        <w:pStyle w:val="Heading3"/>
        <w:spacing w:before="180" w:after="80"/>
      </w:pPr>
      <w:r>
        <w:rPr>
          <w:rFonts w:ascii="Arial" w:cs="Arial" w:eastAsia="Arial" w:hAnsi="Arial"/>
          <w:b/>
          <w:bCs/>
          <w:color w:val="555555"/>
          <w:sz w:val="22"/>
          <w:szCs w:val="22"/>
        </w:rPr>
        <w:t xml:space="preserve">Step 3 — Azure AD Connect Deployment</w:t>
      </w:r>
    </w:p>
    <w:p>
      <w:pPr>
        <w:pStyle w:val="ListParagraph"/>
        <w:numPr>
          <w:ilvl w:val="0"/>
          <w:numId w:val="3"/>
        </w:numPr>
        <w:spacing w:before="40" w:after="40"/>
      </w:pPr>
      <w:r>
        <w:rPr>
          <w:rFonts w:ascii="Arial" w:cs="Arial" w:eastAsia="Arial" w:hAnsi="Arial"/>
          <w:color w:val="000000"/>
          <w:sz w:val="22"/>
          <w:szCs w:val="22"/>
        </w:rPr>
        <w:t xml:space="preserve">Deploy Azure AD Connect 2.x on a dedicated Windows Server 2022 VM (AADCONN01). Minimum spec: 4 vCPU, 16 GB RAM, 100 GB SSD.</w:t>
      </w:r>
    </w:p>
    <w:p>
      <w:pPr>
        <w:pStyle w:val="ListParagraph"/>
        <w:numPr>
          <w:ilvl w:val="0"/>
          <w:numId w:val="3"/>
        </w:numPr>
        <w:spacing w:before="40" w:after="40"/>
      </w:pPr>
      <w:r>
        <w:rPr>
          <w:rFonts w:ascii="Arial" w:cs="Arial" w:eastAsia="Arial" w:hAnsi="Arial"/>
          <w:color w:val="000000"/>
          <w:sz w:val="22"/>
          <w:szCs w:val="22"/>
        </w:rPr>
        <w:t xml:space="preserve">Configure Password Hash Synchronization (PHS) as primary authentication method, with Seamless SSO enabled for domain-joined devices.</w:t>
      </w:r>
    </w:p>
    <w:p>
      <w:pPr>
        <w:pStyle w:val="ListParagraph"/>
        <w:numPr>
          <w:ilvl w:val="0"/>
          <w:numId w:val="3"/>
        </w:numPr>
        <w:spacing w:before="40" w:after="40"/>
      </w:pPr>
      <w:r>
        <w:rPr>
          <w:rFonts w:ascii="Arial" w:cs="Arial" w:eastAsia="Arial" w:hAnsi="Arial"/>
          <w:color w:val="000000"/>
          <w:sz w:val="22"/>
          <w:szCs w:val="22"/>
        </w:rPr>
        <w:t xml:space="preserve">Deploy a second Azure AD Connect server in Staging Mode (AADCONN02) for zero-downtime failover capability.</w:t>
      </w:r>
    </w:p>
    <w:p>
      <w:pPr>
        <w:pStyle w:val="ListParagraph"/>
        <w:numPr>
          <w:ilvl w:val="0"/>
          <w:numId w:val="3"/>
        </w:numPr>
        <w:spacing w:before="40" w:after="40"/>
      </w:pPr>
      <w:r>
        <w:rPr>
          <w:rFonts w:ascii="Arial" w:cs="Arial" w:eastAsia="Arial" w:hAnsi="Arial"/>
          <w:color w:val="000000"/>
          <w:sz w:val="22"/>
          <w:szCs w:val="22"/>
        </w:rPr>
        <w:t xml:space="preserve">Verify synchronization: all 850 users appear in Azure AD within 30 minutes of first sync cycle.</w:t>
      </w:r>
    </w:p>
    <w:p>
      <w:pPr>
        <w:pStyle w:val="ListParagraph"/>
        <w:numPr>
          <w:ilvl w:val="0"/>
          <w:numId w:val="3"/>
        </w:numPr>
        <w:spacing w:before="40" w:after="40"/>
      </w:pPr>
      <w:r>
        <w:rPr>
          <w:rFonts w:ascii="Arial" w:cs="Arial" w:eastAsia="Arial" w:hAnsi="Arial"/>
          <w:color w:val="000000"/>
          <w:sz w:val="22"/>
          <w:szCs w:val="22"/>
        </w:rPr>
        <w:t xml:space="preserve">Validate UPN match: on-premises UPN must match Azure AD UPN exactly for hybrid coexistence to function.</w:t>
      </w:r>
    </w:p>
    <w:p>
      <w:pPr>
        <w:spacing w:before="40" w:after="0"/>
      </w:pPr>
      <w:r>
        <w:t xml:space="preserve"/>
      </w:r>
    </w:p>
    <w:p>
      <w:pPr>
        <w:pStyle w:val="Heading3"/>
        <w:spacing w:before="180" w:after="80"/>
      </w:pPr>
      <w:r>
        <w:rPr>
          <w:rFonts w:ascii="Arial" w:cs="Arial" w:eastAsia="Arial" w:hAnsi="Arial"/>
          <w:b/>
          <w:bCs/>
          <w:color w:val="555555"/>
          <w:sz w:val="22"/>
          <w:szCs w:val="22"/>
        </w:rPr>
        <w:t xml:space="preserve">Step 4 — Exchange Hybrid Configuration</w:t>
      </w:r>
    </w:p>
    <w:p>
      <w:pPr>
        <w:pStyle w:val="ListParagraph"/>
        <w:numPr>
          <w:ilvl w:val="0"/>
          <w:numId w:val="3"/>
        </w:numPr>
        <w:spacing w:before="40" w:after="40"/>
      </w:pPr>
      <w:r>
        <w:rPr>
          <w:rFonts w:ascii="Arial" w:cs="Arial" w:eastAsia="Arial" w:hAnsi="Arial"/>
          <w:color w:val="000000"/>
          <w:sz w:val="22"/>
          <w:szCs w:val="22"/>
        </w:rPr>
        <w:t xml:space="preserve">Install Exchange 2013 Cumulative Update 23 (latest available) on all on-premises Exchange servers.</w:t>
      </w:r>
    </w:p>
    <w:p>
      <w:pPr>
        <w:pStyle w:val="ListParagraph"/>
        <w:numPr>
          <w:ilvl w:val="0"/>
          <w:numId w:val="3"/>
        </w:numPr>
        <w:spacing w:before="40" w:after="40"/>
      </w:pPr>
      <w:r>
        <w:rPr>
          <w:rFonts w:ascii="Arial" w:cs="Arial" w:eastAsia="Arial" w:hAnsi="Arial"/>
          <w:color w:val="000000"/>
          <w:sz w:val="22"/>
          <w:szCs w:val="22"/>
        </w:rPr>
        <w:t xml:space="preserve">Run the Exchange Hybrid Configuration Wizard (HCW) from the Exchange Admin Center:</w:t>
      </w:r>
    </w:p>
    <w:p>
      <w:pPr>
        <w:pStyle w:val="ListParagraph"/>
        <w:numPr>
          <w:ilvl w:val="1"/>
          <w:numId w:val="2"/>
        </w:numPr>
        <w:spacing w:before="40" w:after="40"/>
      </w:pPr>
      <w:r>
        <w:rPr>
          <w:rFonts w:ascii="Arial" w:cs="Arial" w:eastAsia="Arial" w:hAnsi="Arial"/>
          <w:color w:val="000000"/>
          <w:sz w:val="22"/>
          <w:szCs w:val="22"/>
        </w:rPr>
        <w:t xml:space="preserve">Select 'Full Hybrid Configuration'</w:t>
      </w:r>
    </w:p>
    <w:p>
      <w:pPr>
        <w:pStyle w:val="ListParagraph"/>
        <w:numPr>
          <w:ilvl w:val="1"/>
          <w:numId w:val="2"/>
        </w:numPr>
        <w:spacing w:before="40" w:after="40"/>
      </w:pPr>
      <w:r>
        <w:rPr>
          <w:rFonts w:ascii="Arial" w:cs="Arial" w:eastAsia="Arial" w:hAnsi="Arial"/>
          <w:color w:val="000000"/>
          <w:sz w:val="22"/>
          <w:szCs w:val="22"/>
        </w:rPr>
        <w:t xml:space="preserve">Configure Hybrid Agent (modern hybrid — no requirement to publish Exchange externally)</w:t>
      </w:r>
    </w:p>
    <w:p>
      <w:pPr>
        <w:pStyle w:val="ListParagraph"/>
        <w:numPr>
          <w:ilvl w:val="1"/>
          <w:numId w:val="2"/>
        </w:numPr>
        <w:spacing w:before="40" w:after="40"/>
      </w:pPr>
      <w:r>
        <w:rPr>
          <w:rFonts w:ascii="Arial" w:cs="Arial" w:eastAsia="Arial" w:hAnsi="Arial"/>
          <w:color w:val="000000"/>
          <w:sz w:val="22"/>
          <w:szCs w:val="22"/>
        </w:rPr>
        <w:t xml:space="preserve">Configure OAuth for full feature parity (free/busy, mail tips, MailTips, Unified Messaging)</w:t>
      </w:r>
    </w:p>
    <w:p>
      <w:pPr>
        <w:pStyle w:val="ListParagraph"/>
        <w:numPr>
          <w:ilvl w:val="0"/>
          <w:numId w:val="3"/>
        </w:numPr>
        <w:spacing w:before="40" w:after="40"/>
      </w:pPr>
      <w:r>
        <w:rPr>
          <w:rFonts w:ascii="Arial" w:cs="Arial" w:eastAsia="Arial" w:hAnsi="Arial"/>
          <w:color w:val="000000"/>
          <w:sz w:val="22"/>
          <w:szCs w:val="22"/>
        </w:rPr>
        <w:t xml:space="preserve">Validate hybrid by creating a test mailbox move request and verifying free/busy sharing between on-prem and cloud users.</w:t>
      </w:r>
    </w:p>
    <w:p>
      <w:pPr>
        <w:spacing w:before="40" w:after="0"/>
      </w:pPr>
      <w:r>
        <w:t xml:space="preserve"/>
      </w:r>
    </w:p>
    <w:p>
      <w:pPr>
        <w:pStyle w:val="Heading3"/>
        <w:spacing w:before="180" w:after="80"/>
      </w:pPr>
      <w:r>
        <w:rPr>
          <w:rFonts w:ascii="Arial" w:cs="Arial" w:eastAsia="Arial" w:hAnsi="Arial"/>
          <w:b/>
          <w:bCs/>
          <w:color w:val="555555"/>
          <w:sz w:val="22"/>
          <w:szCs w:val="22"/>
        </w:rPr>
        <w:t xml:space="preserve">Step 5 — Licensing &amp; Security Baseline</w:t>
      </w:r>
    </w:p>
    <w:p>
      <w:pPr>
        <w:pStyle w:val="ListParagraph"/>
        <w:numPr>
          <w:ilvl w:val="0"/>
          <w:numId w:val="3"/>
        </w:numPr>
        <w:spacing w:before="40" w:after="40"/>
      </w:pPr>
      <w:r>
        <w:rPr>
          <w:rFonts w:ascii="Arial" w:cs="Arial" w:eastAsia="Arial" w:hAnsi="Arial"/>
          <w:color w:val="000000"/>
          <w:sz w:val="22"/>
          <w:szCs w:val="22"/>
        </w:rPr>
        <w:t xml:space="preserve">Assign Microsoft 365 E3 licenses to all 850 user accounts via Azure AD group-based licensing (do not assign manually).</w:t>
      </w:r>
    </w:p>
    <w:p>
      <w:pPr>
        <w:pStyle w:val="ListParagraph"/>
        <w:numPr>
          <w:ilvl w:val="0"/>
          <w:numId w:val="3"/>
        </w:numPr>
        <w:spacing w:before="40" w:after="40"/>
      </w:pPr>
      <w:r>
        <w:rPr>
          <w:rFonts w:ascii="Arial" w:cs="Arial" w:eastAsia="Arial" w:hAnsi="Arial"/>
          <w:color w:val="000000"/>
          <w:sz w:val="22"/>
          <w:szCs w:val="22"/>
        </w:rPr>
        <w:t xml:space="preserve">Enable Security Defaults or configure Conditional Access policies (preferred) in Azure AD — MFA enforced for all users.</w:t>
      </w:r>
    </w:p>
    <w:p>
      <w:pPr>
        <w:pStyle w:val="ListParagraph"/>
        <w:numPr>
          <w:ilvl w:val="0"/>
          <w:numId w:val="3"/>
        </w:numPr>
        <w:spacing w:before="40" w:after="40"/>
      </w:pPr>
      <w:r>
        <w:rPr>
          <w:rFonts w:ascii="Arial" w:cs="Arial" w:eastAsia="Arial" w:hAnsi="Arial"/>
          <w:color w:val="000000"/>
          <w:sz w:val="22"/>
          <w:szCs w:val="22"/>
        </w:rPr>
        <w:t xml:space="preserve">Configure Microsoft Defender for Office 365 baseline policies: Anti-phishing, Safe Links, Safe Attachments (all set to Standard Protection).</w:t>
      </w:r>
    </w:p>
    <w:p>
      <w:pPr>
        <w:pStyle w:val="ListParagraph"/>
        <w:numPr>
          <w:ilvl w:val="0"/>
          <w:numId w:val="3"/>
        </w:numPr>
        <w:spacing w:before="40" w:after="40"/>
      </w:pPr>
      <w:r>
        <w:rPr>
          <w:rFonts w:ascii="Arial" w:cs="Arial" w:eastAsia="Arial" w:hAnsi="Arial"/>
          <w:color w:val="000000"/>
          <w:sz w:val="22"/>
          <w:szCs w:val="22"/>
        </w:rPr>
        <w:t xml:space="preserve">Enable Microsoft Secure Score baseline recommendations. Target score: 70+ prior to first mailbox migration batch.</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8D4" w:val="clear"/>
            <w:tcMar>
              <w:top w:type="dxa" w:w="160"/>
              <w:left w:type="dxa" w:w="300"/>
              <w:bottom w:type="dxa" w:w="160"/>
              <w:right w:type="dxa" w:w="300"/>
            </w:tcMar>
          </w:tcPr>
          <w:p>
            <w:pPr>
              <w:spacing w:before="0" w:after="40"/>
            </w:pPr>
            <w:r>
              <w:rPr>
                <w:rFonts w:ascii="Arial" w:cs="Arial" w:eastAsia="Arial" w:hAnsi="Arial"/>
                <w:b/>
                <w:bCs/>
                <w:caps/>
                <w:color w:val="A8D4F5"/>
                <w:sz w:val="18"/>
                <w:szCs w:val="18"/>
              </w:rPr>
              <w:t xml:space="preserve">PHASE 3</w:t>
            </w:r>
          </w:p>
          <w:p>
            <w:pPr>
              <w:spacing w:before="0" w:after="20"/>
            </w:pPr>
            <w:r>
              <w:rPr>
                <w:rFonts w:ascii="Arial" w:cs="Arial" w:eastAsia="Arial" w:hAnsi="Arial"/>
                <w:b/>
                <w:bCs/>
                <w:color w:val="FFFFFF"/>
                <w:sz w:val="30"/>
                <w:szCs w:val="30"/>
              </w:rPr>
              <w:t xml:space="preserve">Migration Execution</w:t>
            </w:r>
          </w:p>
          <w:p>
            <w:pPr>
              <w:spacing w:before="0" w:after="0"/>
            </w:pPr>
            <w:r>
              <w:rPr>
                <w:rFonts w:ascii="Arial" w:cs="Arial" w:eastAsia="Arial" w:hAnsi="Arial"/>
                <w:color w:val="D0E9FF"/>
                <w:sz w:val="20"/>
                <w:szCs w:val="20"/>
              </w:rPr>
              <w:t xml:space="preserve">Weeks 8–13  |  Owner: Migration Engineering Team</w:t>
            </w:r>
          </w:p>
        </w:tc>
      </w:tr>
    </w:tbl>
    <w:p>
      <w:pPr>
        <w:spacing w:before="60" w:after="0"/>
      </w:pPr>
      <w:r>
        <w:t xml:space="preserve"/>
      </w:r>
    </w:p>
    <w:p>
      <w:pPr>
        <w:pStyle w:val="Heading2"/>
        <w:spacing w:before="240" w:after="100"/>
      </w:pPr>
      <w:r>
        <w:rPr>
          <w:rFonts w:ascii="Arial" w:cs="Arial" w:eastAsia="Arial" w:hAnsi="Arial"/>
          <w:b/>
          <w:bCs/>
          <w:color w:val="1A1A2E"/>
          <w:sz w:val="26"/>
          <w:szCs w:val="26"/>
        </w:rPr>
        <w:t xml:space="preserve">4.3 Mailbox Migration</w:t>
      </w:r>
    </w:p>
    <w:p>
      <w:pPr>
        <w:spacing w:before="60" w:after="60"/>
      </w:pPr>
      <w:r>
        <w:rPr>
          <w:rFonts w:ascii="Arial" w:cs="Arial" w:eastAsia="Arial" w:hAnsi="Arial"/>
          <w:color w:val="000000"/>
          <w:sz w:val="22"/>
          <w:szCs w:val="22"/>
        </w:rPr>
        <w:t xml:space="preserve">Mailboxes were migrated in 10 batches over 6 weekends. Batch composition prioritized low-risk users first (Tier 3 → Tier 2 → Tier 1), reserving executive mailboxes for the final two batches when the process was fully validated.</w:t>
      </w:r>
    </w:p>
    <w:p>
      <w:pPr>
        <w:spacing w:before="40" w:after="0"/>
      </w:pPr>
      <w:r>
        <w:t xml:space="preserve"/>
      </w:r>
    </w:p>
    <w:p>
      <w:pPr>
        <w:pStyle w:val="Heading3"/>
        <w:spacing w:before="180" w:after="80"/>
      </w:pPr>
      <w:r>
        <w:rPr>
          <w:rFonts w:ascii="Arial" w:cs="Arial" w:eastAsia="Arial" w:hAnsi="Arial"/>
          <w:b/>
          <w:bCs/>
          <w:color w:val="555555"/>
          <w:sz w:val="22"/>
          <w:szCs w:val="22"/>
        </w:rPr>
        <w:t xml:space="preserve">Batch Migration Process — Per Batch</w:t>
      </w:r>
    </w:p>
    <w:p>
      <w:pPr>
        <w:pStyle w:val="ListParagraph"/>
        <w:numPr>
          <w:ilvl w:val="0"/>
          <w:numId w:val="3"/>
        </w:numPr>
        <w:spacing w:before="40" w:after="40"/>
      </w:pPr>
      <w:r>
        <w:rPr>
          <w:rFonts w:ascii="Arial" w:cs="Arial" w:eastAsia="Arial" w:hAnsi="Arial"/>
          <w:color w:val="000000"/>
          <w:sz w:val="22"/>
          <w:szCs w:val="22"/>
        </w:rPr>
        <w:t xml:space="preserve">Create a migration endpoint in Exchange Admin Center pointing to the on-premises Exchange server:</w:t>
      </w:r>
    </w:p>
    <w:p>
      <w:pPr>
        <w:spacing w:before="40" w:after="40"/>
        <w:ind w:left="360"/>
      </w:pPr>
      <w:r>
        <w:rPr>
          <w:rFonts w:ascii="Courier New" w:cs="Courier New" w:eastAsia="Courier New" w:hAnsi="Courier New"/>
          <w:color w:val="C7254E"/>
          <w:sz w:val="18"/>
          <w:szCs w:val="18"/>
        </w:rPr>
        <w:t xml:space="preserve">New-MigrationEndpoint -ExchangeRemoteMove -Name 'MGS-OnPrem' -RemoteServer exch01.meridiangs.com -Credentials $cred</w:t>
      </w:r>
    </w:p>
    <w:p>
      <w:pPr>
        <w:pStyle w:val="ListParagraph"/>
        <w:numPr>
          <w:ilvl w:val="0"/>
          <w:numId w:val="3"/>
        </w:numPr>
        <w:spacing w:before="40" w:after="40"/>
      </w:pPr>
      <w:r>
        <w:rPr>
          <w:rFonts w:ascii="Arial" w:cs="Arial" w:eastAsia="Arial" w:hAnsi="Arial"/>
          <w:color w:val="000000"/>
          <w:sz w:val="22"/>
          <w:szCs w:val="22"/>
        </w:rPr>
        <w:t xml:space="preserve">Create a migration batch CSV file containing UPNs for the batch users. Maximum 100 mailboxes per batch.</w:t>
      </w:r>
    </w:p>
    <w:p>
      <w:pPr>
        <w:pStyle w:val="ListParagraph"/>
        <w:numPr>
          <w:ilvl w:val="0"/>
          <w:numId w:val="3"/>
        </w:numPr>
        <w:spacing w:before="40" w:after="40"/>
      </w:pPr>
      <w:r>
        <w:rPr>
          <w:rFonts w:ascii="Arial" w:cs="Arial" w:eastAsia="Arial" w:hAnsi="Arial"/>
          <w:color w:val="000000"/>
          <w:sz w:val="22"/>
          <w:szCs w:val="22"/>
        </w:rPr>
        <w:t xml:space="preserve">Submit the migration batch:</w:t>
      </w:r>
    </w:p>
    <w:p>
      <w:pPr>
        <w:spacing w:before="40" w:after="40"/>
        <w:ind w:left="360"/>
      </w:pPr>
      <w:r>
        <w:rPr>
          <w:rFonts w:ascii="Courier New" w:cs="Courier New" w:eastAsia="Courier New" w:hAnsi="Courier New"/>
          <w:color w:val="C7254E"/>
          <w:sz w:val="18"/>
          <w:szCs w:val="18"/>
        </w:rPr>
        <w:t xml:space="preserve">New-MigrationBatch -Name 'Batch01-Finance' -SourceEndpoint 'MGS-OnPrem' -CSVData $CSVData -TargetDeliveryDomain meridiangs.mail.onmicrosoft.com -AutoStart -AutoComplete</w:t>
      </w:r>
    </w:p>
    <w:p>
      <w:pPr>
        <w:pStyle w:val="ListParagraph"/>
        <w:numPr>
          <w:ilvl w:val="0"/>
          <w:numId w:val="3"/>
        </w:numPr>
        <w:spacing w:before="40" w:after="40"/>
      </w:pPr>
      <w:r>
        <w:rPr>
          <w:rFonts w:ascii="Arial" w:cs="Arial" w:eastAsia="Arial" w:hAnsi="Arial"/>
          <w:color w:val="000000"/>
          <w:sz w:val="22"/>
          <w:szCs w:val="22"/>
        </w:rPr>
        <w:t xml:space="preserve">Monitor migration progress in real time:</w:t>
      </w:r>
    </w:p>
    <w:p>
      <w:pPr>
        <w:spacing w:before="40" w:after="40"/>
        <w:ind w:left="360"/>
      </w:pPr>
      <w:r>
        <w:rPr>
          <w:rFonts w:ascii="Courier New" w:cs="Courier New" w:eastAsia="Courier New" w:hAnsi="Courier New"/>
          <w:color w:val="C7254E"/>
          <w:sz w:val="18"/>
          <w:szCs w:val="18"/>
        </w:rPr>
        <w:t xml:space="preserve">Get-MigrationUser -BatchId 'Batch01-Finance' | Get-MigrationUserStatistics | Select DisplayName,StatusDetail,TotalItemsInSourceMailboxCount,SyncedItemCount,PercentageComplete</w:t>
      </w:r>
    </w:p>
    <w:p>
      <w:pPr>
        <w:pStyle w:val="ListParagraph"/>
        <w:numPr>
          <w:ilvl w:val="0"/>
          <w:numId w:val="3"/>
        </w:numPr>
        <w:spacing w:before="40" w:after="40"/>
      </w:pPr>
      <w:r>
        <w:rPr>
          <w:rFonts w:ascii="Arial" w:cs="Arial" w:eastAsia="Arial" w:hAnsi="Arial"/>
          <w:color w:val="000000"/>
          <w:sz w:val="22"/>
          <w:szCs w:val="22"/>
        </w:rPr>
        <w:t xml:space="preserve">Verify initial sync is complete (PercentageComplete = 95%+) before scheduling completion window.</w:t>
      </w:r>
    </w:p>
    <w:p>
      <w:pPr>
        <w:pStyle w:val="ListParagraph"/>
        <w:numPr>
          <w:ilvl w:val="0"/>
          <w:numId w:val="3"/>
        </w:numPr>
        <w:spacing w:before="40" w:after="40"/>
      </w:pPr>
      <w:r>
        <w:rPr>
          <w:rFonts w:ascii="Arial" w:cs="Arial" w:eastAsia="Arial" w:hAnsi="Arial"/>
          <w:color w:val="000000"/>
          <w:sz w:val="22"/>
          <w:szCs w:val="22"/>
        </w:rPr>
        <w:t xml:space="preserve">During the completion window (Saturday 2 AM), run final delta sync and complete the batch:</w:t>
      </w:r>
    </w:p>
    <w:p>
      <w:pPr>
        <w:spacing w:before="40" w:after="40"/>
        <w:ind w:left="360"/>
      </w:pPr>
      <w:r>
        <w:rPr>
          <w:rFonts w:ascii="Courier New" w:cs="Courier New" w:eastAsia="Courier New" w:hAnsi="Courier New"/>
          <w:color w:val="C7254E"/>
          <w:sz w:val="18"/>
          <w:szCs w:val="18"/>
        </w:rPr>
        <w:t xml:space="preserve">Complete-MigrationBatch -Identity 'Batch01-Finance'</w:t>
      </w:r>
    </w:p>
    <w:p>
      <w:pPr>
        <w:pStyle w:val="ListParagraph"/>
        <w:numPr>
          <w:ilvl w:val="0"/>
          <w:numId w:val="3"/>
        </w:numPr>
        <w:spacing w:before="40" w:after="40"/>
      </w:pPr>
      <w:r>
        <w:rPr>
          <w:rFonts w:ascii="Arial" w:cs="Arial" w:eastAsia="Arial" w:hAnsi="Arial"/>
          <w:color w:val="000000"/>
          <w:sz w:val="22"/>
          <w:szCs w:val="22"/>
        </w:rPr>
        <w:t xml:space="preserve">After completion: update Outlook profile for each user (Autodiscover handles this automatically for domain-joined machines). Verify user can send/receive in Exchange Online.</w:t>
      </w:r>
    </w:p>
    <w:p>
      <w:pPr>
        <w:pStyle w:val="ListParagraph"/>
        <w:numPr>
          <w:ilvl w:val="0"/>
          <w:numId w:val="3"/>
        </w:numPr>
        <w:spacing w:before="40" w:after="40"/>
      </w:pPr>
      <w:r>
        <w:rPr>
          <w:rFonts w:ascii="Arial" w:cs="Arial" w:eastAsia="Arial" w:hAnsi="Arial"/>
          <w:color w:val="000000"/>
          <w:sz w:val="22"/>
          <w:szCs w:val="22"/>
        </w:rPr>
        <w:t xml:space="preserve">Update Azure AD group membership to reflect migrated users — this drives license assignments and Conditional Access policy application.</w:t>
      </w:r>
    </w:p>
    <w:p>
      <w:pPr>
        <w:spacing w:before="40" w:after="0"/>
      </w:pPr>
      <w:r>
        <w:t xml:space="preserve"/>
      </w:r>
    </w:p>
    <w:p>
      <w:pPr>
        <w:pStyle w:val="Heading3"/>
        <w:spacing w:before="180" w:after="80"/>
      </w:pPr>
      <w:r>
        <w:rPr>
          <w:rFonts w:ascii="Arial" w:cs="Arial" w:eastAsia="Arial" w:hAnsi="Arial"/>
          <w:b/>
          <w:bCs/>
          <w:color w:val="555555"/>
          <w:sz w:val="22"/>
          <w:szCs w:val="22"/>
        </w:rPr>
        <w:t xml:space="preserve">Mailbox Migration Monitoring Dashboard Checks</w:t>
      </w:r>
    </w:p>
    <w:p>
      <w:pPr>
        <w:pStyle w:val="ListParagraph"/>
        <w:numPr>
          <w:ilvl w:val="0"/>
          <w:numId w:val="4"/>
        </w:numPr>
        <w:spacing w:before="30" w:after="30"/>
      </w:pPr>
      <w:r>
        <w:rPr>
          <w:rFonts w:ascii="Arial" w:cs="Arial" w:eastAsia="Arial" w:hAnsi="Arial"/>
          <w:color w:val="555555"/>
          <w:sz w:val="22"/>
          <w:szCs w:val="22"/>
        </w:rPr>
        <w:t xml:space="preserve">☐  </w:t>
      </w:r>
      <w:r>
        <w:rPr>
          <w:rFonts w:ascii="Arial" w:cs="Arial" w:eastAsia="Arial" w:hAnsi="Arial"/>
          <w:color w:val="000000"/>
          <w:sz w:val="22"/>
          <w:szCs w:val="22"/>
        </w:rPr>
        <w:t xml:space="preserve">All users in batch show Status: Completed</w:t>
      </w:r>
    </w:p>
    <w:p>
      <w:pPr>
        <w:pStyle w:val="ListParagraph"/>
        <w:numPr>
          <w:ilvl w:val="0"/>
          <w:numId w:val="4"/>
        </w:numPr>
        <w:spacing w:before="30" w:after="30"/>
      </w:pPr>
      <w:r>
        <w:rPr>
          <w:rFonts w:ascii="Arial" w:cs="Arial" w:eastAsia="Arial" w:hAnsi="Arial"/>
          <w:color w:val="555555"/>
          <w:sz w:val="22"/>
          <w:szCs w:val="22"/>
        </w:rPr>
        <w:t xml:space="preserve">☐  </w:t>
      </w:r>
      <w:r>
        <w:rPr>
          <w:rFonts w:ascii="Arial" w:cs="Arial" w:eastAsia="Arial" w:hAnsi="Arial"/>
          <w:color w:val="000000"/>
          <w:sz w:val="22"/>
          <w:szCs w:val="22"/>
        </w:rPr>
        <w:t xml:space="preserve">ItemsSkipped count reviewed — items &gt; 5 investigated manually</w:t>
      </w:r>
    </w:p>
    <w:p>
      <w:pPr>
        <w:pStyle w:val="ListParagraph"/>
        <w:numPr>
          <w:ilvl w:val="0"/>
          <w:numId w:val="4"/>
        </w:numPr>
        <w:spacing w:before="30" w:after="30"/>
      </w:pPr>
      <w:r>
        <w:rPr>
          <w:rFonts w:ascii="Arial" w:cs="Arial" w:eastAsia="Arial" w:hAnsi="Arial"/>
          <w:color w:val="555555"/>
          <w:sz w:val="22"/>
          <w:szCs w:val="22"/>
        </w:rPr>
        <w:t xml:space="preserve">☐  </w:t>
      </w:r>
      <w:r>
        <w:rPr>
          <w:rFonts w:ascii="Arial" w:cs="Arial" w:eastAsia="Arial" w:hAnsi="Arial"/>
          <w:color w:val="000000"/>
          <w:sz w:val="22"/>
          <w:szCs w:val="22"/>
        </w:rPr>
        <w:t xml:space="preserve">Outlook Autodiscover redirecting to Exchange Online</w:t>
      </w:r>
    </w:p>
    <w:p>
      <w:pPr>
        <w:pStyle w:val="ListParagraph"/>
        <w:numPr>
          <w:ilvl w:val="0"/>
          <w:numId w:val="4"/>
        </w:numPr>
        <w:spacing w:before="30" w:after="30"/>
      </w:pPr>
      <w:r>
        <w:rPr>
          <w:rFonts w:ascii="Arial" w:cs="Arial" w:eastAsia="Arial" w:hAnsi="Arial"/>
          <w:color w:val="555555"/>
          <w:sz w:val="22"/>
          <w:szCs w:val="22"/>
        </w:rPr>
        <w:t xml:space="preserve">☐  </w:t>
      </w:r>
      <w:r>
        <w:rPr>
          <w:rFonts w:ascii="Arial" w:cs="Arial" w:eastAsia="Arial" w:hAnsi="Arial"/>
          <w:color w:val="000000"/>
          <w:sz w:val="22"/>
          <w:szCs w:val="22"/>
        </w:rPr>
        <w:t xml:space="preserve">Mobile devices (iOS/Android) reconnected via Modern Authentication</w:t>
      </w:r>
    </w:p>
    <w:p>
      <w:pPr>
        <w:pStyle w:val="ListParagraph"/>
        <w:numPr>
          <w:ilvl w:val="0"/>
          <w:numId w:val="4"/>
        </w:numPr>
        <w:spacing w:before="30" w:after="30"/>
      </w:pPr>
      <w:r>
        <w:rPr>
          <w:rFonts w:ascii="Arial" w:cs="Arial" w:eastAsia="Arial" w:hAnsi="Arial"/>
          <w:color w:val="555555"/>
          <w:sz w:val="22"/>
          <w:szCs w:val="22"/>
        </w:rPr>
        <w:t xml:space="preserve">☐  </w:t>
      </w:r>
      <w:r>
        <w:rPr>
          <w:rFonts w:ascii="Arial" w:cs="Arial" w:eastAsia="Arial" w:hAnsi="Arial"/>
          <w:color w:val="000000"/>
          <w:sz w:val="22"/>
          <w:szCs w:val="22"/>
        </w:rPr>
        <w:t xml:space="preserve">Shared mailbox delegates confirmed working</w:t>
      </w:r>
    </w:p>
    <w:p>
      <w:pPr>
        <w:pStyle w:val="ListParagraph"/>
        <w:numPr>
          <w:ilvl w:val="0"/>
          <w:numId w:val="4"/>
        </w:numPr>
        <w:spacing w:before="30" w:after="30"/>
      </w:pPr>
      <w:r>
        <w:rPr>
          <w:rFonts w:ascii="Arial" w:cs="Arial" w:eastAsia="Arial" w:hAnsi="Arial"/>
          <w:color w:val="555555"/>
          <w:sz w:val="22"/>
          <w:szCs w:val="22"/>
        </w:rPr>
        <w:t xml:space="preserve">☐  </w:t>
      </w:r>
      <w:r>
        <w:rPr>
          <w:rFonts w:ascii="Arial" w:cs="Arial" w:eastAsia="Arial" w:hAnsi="Arial"/>
          <w:color w:val="000000"/>
          <w:sz w:val="22"/>
          <w:szCs w:val="22"/>
        </w:rPr>
        <w:t xml:space="preserve">Distribution group membership intact</w:t>
      </w:r>
    </w:p>
    <w:p>
      <w:pPr>
        <w:spacing w:before="60" w:after="0"/>
      </w:pPr>
      <w:r>
        <w:t xml:space="preserve"/>
      </w:r>
    </w:p>
    <w:p>
      <w:pPr>
        <w:pStyle w:val="Heading2"/>
        <w:spacing w:before="240" w:after="100"/>
      </w:pPr>
      <w:r>
        <w:rPr>
          <w:rFonts w:ascii="Arial" w:cs="Arial" w:eastAsia="Arial" w:hAnsi="Arial"/>
          <w:b/>
          <w:bCs/>
          <w:color w:val="1A1A2E"/>
          <w:sz w:val="26"/>
          <w:szCs w:val="26"/>
        </w:rPr>
        <w:t xml:space="preserve">4.4 SharePoint &amp; OneDrive File Migration</w:t>
      </w:r>
    </w:p>
    <w:p>
      <w:pPr>
        <w:pStyle w:val="Heading3"/>
        <w:spacing w:before="180" w:after="80"/>
      </w:pPr>
      <w:r>
        <w:rPr>
          <w:rFonts w:ascii="Arial" w:cs="Arial" w:eastAsia="Arial" w:hAnsi="Arial"/>
          <w:b/>
          <w:bCs/>
          <w:color w:val="555555"/>
          <w:sz w:val="22"/>
          <w:szCs w:val="22"/>
        </w:rPr>
        <w:t xml:space="preserve">Step 1 — SharePoint Site Structure</w:t>
      </w:r>
    </w:p>
    <w:p>
      <w:pPr>
        <w:pStyle w:val="ListParagraph"/>
        <w:numPr>
          <w:ilvl w:val="0"/>
          <w:numId w:val="3"/>
        </w:numPr>
        <w:spacing w:before="40" w:after="40"/>
      </w:pPr>
      <w:r>
        <w:rPr>
          <w:rFonts w:ascii="Arial" w:cs="Arial" w:eastAsia="Arial" w:hAnsi="Arial"/>
          <w:color w:val="000000"/>
          <w:sz w:val="22"/>
          <w:szCs w:val="22"/>
        </w:rPr>
        <w:t xml:space="preserve">Create SharePoint site collections to mirror the on-premises DFS namespace structure. Naming convention: /sites/[Department]-[Region].</w:t>
      </w:r>
    </w:p>
    <w:p>
      <w:pPr>
        <w:pStyle w:val="ListParagraph"/>
        <w:numPr>
          <w:ilvl w:val="0"/>
          <w:numId w:val="3"/>
        </w:numPr>
        <w:spacing w:before="40" w:after="40"/>
      </w:pPr>
      <w:r>
        <w:rPr>
          <w:rFonts w:ascii="Arial" w:cs="Arial" w:eastAsia="Arial" w:hAnsi="Arial"/>
          <w:color w:val="000000"/>
          <w:sz w:val="22"/>
          <w:szCs w:val="22"/>
        </w:rPr>
        <w:t xml:space="preserve">Configure SharePoint document library permissions to match the NTFS ACL mapping document produced in Phase 1.</w:t>
      </w:r>
    </w:p>
    <w:p>
      <w:pPr>
        <w:pStyle w:val="ListParagraph"/>
        <w:numPr>
          <w:ilvl w:val="0"/>
          <w:numId w:val="3"/>
        </w:numPr>
        <w:spacing w:before="40" w:after="40"/>
      </w:pPr>
      <w:r>
        <w:rPr>
          <w:rFonts w:ascii="Arial" w:cs="Arial" w:eastAsia="Arial" w:hAnsi="Arial"/>
          <w:color w:val="000000"/>
          <w:sz w:val="22"/>
          <w:szCs w:val="22"/>
        </w:rPr>
        <w:t xml:space="preserve">Enable versioning (50 versions) and co-authoring on all document libraries.</w:t>
      </w:r>
    </w:p>
    <w:p>
      <w:pPr>
        <w:spacing w:before="40" w:after="0"/>
      </w:pPr>
      <w:r>
        <w:t xml:space="preserve"/>
      </w:r>
    </w:p>
    <w:p>
      <w:pPr>
        <w:pStyle w:val="Heading3"/>
        <w:spacing w:before="180" w:after="80"/>
      </w:pPr>
      <w:r>
        <w:rPr>
          <w:rFonts w:ascii="Arial" w:cs="Arial" w:eastAsia="Arial" w:hAnsi="Arial"/>
          <w:b/>
          <w:bCs/>
          <w:color w:val="555555"/>
          <w:sz w:val="22"/>
          <w:szCs w:val="22"/>
        </w:rPr>
        <w:t xml:space="preserve">Step 2 — Run SharePoint Migration Tool (SPMT)</w:t>
      </w:r>
    </w:p>
    <w:p>
      <w:pPr>
        <w:pStyle w:val="ListParagraph"/>
        <w:numPr>
          <w:ilvl w:val="0"/>
          <w:numId w:val="3"/>
        </w:numPr>
        <w:spacing w:before="40" w:after="40"/>
      </w:pPr>
      <w:r>
        <w:rPr>
          <w:rFonts w:ascii="Arial" w:cs="Arial" w:eastAsia="Arial" w:hAnsi="Arial"/>
          <w:color w:val="000000"/>
          <w:sz w:val="22"/>
          <w:szCs w:val="22"/>
        </w:rPr>
        <w:t xml:space="preserve">Install SPMT on a dedicated migration server with minimum 8 vCPU, 32 GB RAM — do not run from a laptop.</w:t>
      </w:r>
    </w:p>
    <w:p>
      <w:pPr>
        <w:pStyle w:val="ListParagraph"/>
        <w:numPr>
          <w:ilvl w:val="0"/>
          <w:numId w:val="3"/>
        </w:numPr>
        <w:spacing w:before="40" w:after="40"/>
      </w:pPr>
      <w:r>
        <w:rPr>
          <w:rFonts w:ascii="Arial" w:cs="Arial" w:eastAsia="Arial" w:hAnsi="Arial"/>
          <w:color w:val="000000"/>
          <w:sz w:val="22"/>
          <w:szCs w:val="22"/>
        </w:rPr>
        <w:t xml:space="preserve">Configure SPMT settings: enable incremental migration, set parallel threads to 5, enable encryption at rest.</w:t>
      </w:r>
    </w:p>
    <w:p>
      <w:pPr>
        <w:pStyle w:val="ListParagraph"/>
        <w:numPr>
          <w:ilvl w:val="0"/>
          <w:numId w:val="3"/>
        </w:numPr>
        <w:spacing w:before="40" w:after="40"/>
      </w:pPr>
      <w:r>
        <w:rPr>
          <w:rFonts w:ascii="Arial" w:cs="Arial" w:eastAsia="Arial" w:hAnsi="Arial"/>
          <w:color w:val="000000"/>
          <w:sz w:val="22"/>
          <w:szCs w:val="22"/>
        </w:rPr>
        <w:t xml:space="preserve">Run assessment scan first (--SkipFilesWithExtensions .tmp .ds_store) and review report.</w:t>
      </w:r>
    </w:p>
    <w:p>
      <w:pPr>
        <w:pStyle w:val="ListParagraph"/>
        <w:numPr>
          <w:ilvl w:val="0"/>
          <w:numId w:val="3"/>
        </w:numPr>
        <w:spacing w:before="40" w:after="40"/>
      </w:pPr>
      <w:r>
        <w:rPr>
          <w:rFonts w:ascii="Arial" w:cs="Arial" w:eastAsia="Arial" w:hAnsi="Arial"/>
          <w:color w:val="000000"/>
          <w:sz w:val="22"/>
          <w:szCs w:val="22"/>
        </w:rPr>
        <w:t xml:space="preserve">Execute migration in incremental mode — run three passes:</w:t>
      </w:r>
    </w:p>
    <w:p>
      <w:pPr>
        <w:pStyle w:val="ListParagraph"/>
        <w:numPr>
          <w:ilvl w:val="1"/>
          <w:numId w:val="2"/>
        </w:numPr>
        <w:spacing w:before="40" w:after="40"/>
      </w:pPr>
      <w:r>
        <w:rPr>
          <w:rFonts w:ascii="Arial" w:cs="Arial" w:eastAsia="Arial" w:hAnsi="Arial"/>
          <w:color w:val="000000"/>
          <w:sz w:val="22"/>
          <w:szCs w:val="22"/>
        </w:rPr>
        <w:t xml:space="preserve">Pass 1 (Week 10): Full initial migration of all content. Expect 3–5 days for 7.8 TB.</w:t>
      </w:r>
    </w:p>
    <w:p>
      <w:pPr>
        <w:pStyle w:val="ListParagraph"/>
        <w:numPr>
          <w:ilvl w:val="1"/>
          <w:numId w:val="2"/>
        </w:numPr>
        <w:spacing w:before="40" w:after="40"/>
      </w:pPr>
      <w:r>
        <w:rPr>
          <w:rFonts w:ascii="Arial" w:cs="Arial" w:eastAsia="Arial" w:hAnsi="Arial"/>
          <w:color w:val="000000"/>
          <w:sz w:val="22"/>
          <w:szCs w:val="22"/>
        </w:rPr>
        <w:t xml:space="preserve">Pass 2 (Week 12): Incremental sync — captures changes since Pass 1. Duration: 4–8 hours.</w:t>
      </w:r>
    </w:p>
    <w:p>
      <w:pPr>
        <w:pStyle w:val="ListParagraph"/>
        <w:numPr>
          <w:ilvl w:val="1"/>
          <w:numId w:val="2"/>
        </w:numPr>
        <w:spacing w:before="40" w:after="40"/>
      </w:pPr>
      <w:r>
        <w:rPr>
          <w:rFonts w:ascii="Arial" w:cs="Arial" w:eastAsia="Arial" w:hAnsi="Arial"/>
          <w:color w:val="000000"/>
          <w:sz w:val="22"/>
          <w:szCs w:val="22"/>
        </w:rPr>
        <w:t xml:space="preserve">Pass 3 (Migration weekend): Final delta sync immediately before file server decommission.</w:t>
      </w:r>
    </w:p>
    <w:p>
      <w:pPr>
        <w:pStyle w:val="ListParagraph"/>
        <w:numPr>
          <w:ilvl w:val="0"/>
          <w:numId w:val="3"/>
        </w:numPr>
        <w:spacing w:before="40" w:after="40"/>
      </w:pPr>
      <w:r>
        <w:rPr>
          <w:rFonts w:ascii="Arial" w:cs="Arial" w:eastAsia="Arial" w:hAnsi="Arial"/>
          <w:color w:val="000000"/>
          <w:sz w:val="22"/>
          <w:szCs w:val="22"/>
        </w:rPr>
        <w:t xml:space="preserve">Validate migration: spot-check 5% of migrated files for integrity using checksums.</w:t>
      </w:r>
    </w:p>
    <w:p>
      <w:pPr>
        <w:spacing w:before="40" w:after="0"/>
      </w:pPr>
      <w:r>
        <w:t xml:space="preserve"/>
      </w:r>
    </w:p>
    <w:p>
      <w:pPr>
        <w:pStyle w:val="Heading3"/>
        <w:spacing w:before="180" w:after="80"/>
      </w:pPr>
      <w:r>
        <w:rPr>
          <w:rFonts w:ascii="Arial" w:cs="Arial" w:eastAsia="Arial" w:hAnsi="Arial"/>
          <w:b/>
          <w:bCs/>
          <w:color w:val="555555"/>
          <w:sz w:val="22"/>
          <w:szCs w:val="22"/>
        </w:rPr>
        <w:t xml:space="preserve">Step 3 — OneDrive for Business Migration</w:t>
      </w:r>
    </w:p>
    <w:p>
      <w:pPr>
        <w:pStyle w:val="ListParagraph"/>
        <w:numPr>
          <w:ilvl w:val="0"/>
          <w:numId w:val="3"/>
        </w:numPr>
        <w:spacing w:before="40" w:after="40"/>
      </w:pPr>
      <w:r>
        <w:rPr>
          <w:rFonts w:ascii="Arial" w:cs="Arial" w:eastAsia="Arial" w:hAnsi="Arial"/>
          <w:color w:val="000000"/>
          <w:sz w:val="22"/>
          <w:szCs w:val="22"/>
        </w:rPr>
        <w:t xml:space="preserve">Use SharePoint Migration Tool to migrate each user's home drive to their OneDrive for Business:</w:t>
      </w:r>
    </w:p>
    <w:p>
      <w:pPr>
        <w:spacing w:before="40" w:after="40"/>
        <w:ind w:left="360"/>
      </w:pPr>
      <w:r>
        <w:rPr>
          <w:rFonts w:ascii="Courier New" w:cs="Courier New" w:eastAsia="Courier New" w:hAnsi="Courier New"/>
          <w:color w:val="C7254E"/>
          <w:sz w:val="18"/>
          <w:szCs w:val="18"/>
        </w:rPr>
        <w:t xml:space="preserve">Add-SPMTTask -FileShareSource \\FS01\HomeDrives\%username% -TargetSiteUrl https://meridiangs-my.sharepoint.com/personal/%username%_meridiangs_com -TargetList 'Documents'</w:t>
      </w:r>
    </w:p>
    <w:p>
      <w:pPr>
        <w:pStyle w:val="ListParagraph"/>
        <w:numPr>
          <w:ilvl w:val="0"/>
          <w:numId w:val="3"/>
        </w:numPr>
        <w:spacing w:before="40" w:after="40"/>
      </w:pPr>
      <w:r>
        <w:rPr>
          <w:rFonts w:ascii="Arial" w:cs="Arial" w:eastAsia="Arial" w:hAnsi="Arial"/>
          <w:color w:val="000000"/>
          <w:sz w:val="22"/>
          <w:szCs w:val="22"/>
        </w:rPr>
        <w:t xml:space="preserve">Configure OneDrive Known Folder Move (KFM) via Intune policy to redirect Desktop, Documents, and Pictures to OneDrive — this goes live on Day 1 post-migration for all users.</w:t>
      </w:r>
    </w:p>
    <w:p>
      <w:pPr>
        <w:pStyle w:val="ListParagraph"/>
        <w:numPr>
          <w:ilvl w:val="0"/>
          <w:numId w:val="3"/>
        </w:numPr>
        <w:spacing w:before="40" w:after="40"/>
      </w:pPr>
      <w:r>
        <w:rPr>
          <w:rFonts w:ascii="Arial" w:cs="Arial" w:eastAsia="Arial" w:hAnsi="Arial"/>
          <w:color w:val="000000"/>
          <w:sz w:val="22"/>
          <w:szCs w:val="22"/>
        </w:rPr>
        <w:t xml:space="preserve">Set OneDrive storage quota to 1 TB per user (E3 entitlement).</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8D4" w:val="clear"/>
            <w:tcMar>
              <w:top w:type="dxa" w:w="160"/>
              <w:left w:type="dxa" w:w="300"/>
              <w:bottom w:type="dxa" w:w="160"/>
              <w:right w:type="dxa" w:w="300"/>
            </w:tcMar>
          </w:tcPr>
          <w:p>
            <w:pPr>
              <w:spacing w:before="0" w:after="40"/>
            </w:pPr>
            <w:r>
              <w:rPr>
                <w:rFonts w:ascii="Arial" w:cs="Arial" w:eastAsia="Arial" w:hAnsi="Arial"/>
                <w:b/>
                <w:bCs/>
                <w:caps/>
                <w:color w:val="A8D4F5"/>
                <w:sz w:val="18"/>
                <w:szCs w:val="18"/>
              </w:rPr>
              <w:t xml:space="preserve">PHASE 4</w:t>
            </w:r>
          </w:p>
          <w:p>
            <w:pPr>
              <w:spacing w:before="0" w:after="20"/>
            </w:pPr>
            <w:r>
              <w:rPr>
                <w:rFonts w:ascii="Arial" w:cs="Arial" w:eastAsia="Arial" w:hAnsi="Arial"/>
                <w:b/>
                <w:bCs/>
                <w:color w:val="FFFFFF"/>
                <w:sz w:val="30"/>
                <w:szCs w:val="30"/>
              </w:rPr>
              <w:t xml:space="preserve">Post-Migration Validation</w:t>
            </w:r>
          </w:p>
          <w:p>
            <w:pPr>
              <w:spacing w:before="0" w:after="0"/>
            </w:pPr>
            <w:r>
              <w:rPr>
                <w:rFonts w:ascii="Arial" w:cs="Arial" w:eastAsia="Arial" w:hAnsi="Arial"/>
                <w:color w:val="D0E9FF"/>
                <w:sz w:val="20"/>
                <w:szCs w:val="20"/>
              </w:rPr>
              <w:t xml:space="preserve">Weeks 14–15  |  Owner: QA &amp; Support Team</w:t>
            </w:r>
          </w:p>
        </w:tc>
      </w:tr>
    </w:tbl>
    <w:p>
      <w:pPr>
        <w:spacing w:before="60" w:after="0"/>
      </w:pPr>
      <w:r>
        <w:t xml:space="preserve"/>
      </w:r>
    </w:p>
    <w:p>
      <w:pPr>
        <w:pStyle w:val="Heading2"/>
        <w:spacing w:before="240" w:after="100"/>
      </w:pPr>
      <w:r>
        <w:rPr>
          <w:rFonts w:ascii="Arial" w:cs="Arial" w:eastAsia="Arial" w:hAnsi="Arial"/>
          <w:b/>
          <w:bCs/>
          <w:color w:val="1A1A2E"/>
          <w:sz w:val="26"/>
          <w:szCs w:val="26"/>
        </w:rPr>
        <w:t xml:space="preserve">4.5 Validation Checklists</w:t>
      </w:r>
    </w:p>
    <w:p>
      <w:pPr>
        <w:pStyle w:val="Heading3"/>
        <w:spacing w:before="180" w:after="80"/>
      </w:pPr>
      <w:r>
        <w:rPr>
          <w:rFonts w:ascii="Arial" w:cs="Arial" w:eastAsia="Arial" w:hAnsi="Arial"/>
          <w:b/>
          <w:bCs/>
          <w:color w:val="555555"/>
          <w:sz w:val="22"/>
          <w:szCs w:val="22"/>
        </w:rPr>
        <w:t xml:space="preserve">Email &amp; Calendaring Validation</w:t>
      </w:r>
    </w:p>
    <w:p>
      <w:pPr>
        <w:pStyle w:val="ListParagraph"/>
        <w:numPr>
          <w:ilvl w:val="0"/>
          <w:numId w:val="4"/>
        </w:numPr>
        <w:spacing w:before="30" w:after="30"/>
      </w:pPr>
      <w:r>
        <w:rPr>
          <w:rFonts w:ascii="Arial" w:cs="Arial" w:eastAsia="Arial" w:hAnsi="Arial"/>
          <w:color w:val="107C10"/>
          <w:sz w:val="22"/>
          <w:szCs w:val="22"/>
        </w:rPr>
        <w:t xml:space="preserve">☑  </w:t>
      </w:r>
      <w:r>
        <w:rPr>
          <w:rFonts w:ascii="Arial" w:cs="Arial" w:eastAsia="Arial" w:hAnsi="Arial"/>
          <w:color w:val="000000"/>
          <w:sz w:val="22"/>
          <w:szCs w:val="22"/>
        </w:rPr>
        <w:t xml:space="preserve">Send and receive email from internal users ✓</w:t>
      </w:r>
    </w:p>
    <w:p>
      <w:pPr>
        <w:pStyle w:val="ListParagraph"/>
        <w:numPr>
          <w:ilvl w:val="0"/>
          <w:numId w:val="4"/>
        </w:numPr>
        <w:spacing w:before="30" w:after="30"/>
      </w:pPr>
      <w:r>
        <w:rPr>
          <w:rFonts w:ascii="Arial" w:cs="Arial" w:eastAsia="Arial" w:hAnsi="Arial"/>
          <w:color w:val="107C10"/>
          <w:sz w:val="22"/>
          <w:szCs w:val="22"/>
        </w:rPr>
        <w:t xml:space="preserve">☑  </w:t>
      </w:r>
      <w:r>
        <w:rPr>
          <w:rFonts w:ascii="Arial" w:cs="Arial" w:eastAsia="Arial" w:hAnsi="Arial"/>
          <w:color w:val="000000"/>
          <w:sz w:val="22"/>
          <w:szCs w:val="22"/>
        </w:rPr>
        <w:t xml:space="preserve">Send and receive email from external domains ✓</w:t>
      </w:r>
    </w:p>
    <w:p>
      <w:pPr>
        <w:pStyle w:val="ListParagraph"/>
        <w:numPr>
          <w:ilvl w:val="0"/>
          <w:numId w:val="4"/>
        </w:numPr>
        <w:spacing w:before="30" w:after="30"/>
      </w:pPr>
      <w:r>
        <w:rPr>
          <w:rFonts w:ascii="Arial" w:cs="Arial" w:eastAsia="Arial" w:hAnsi="Arial"/>
          <w:color w:val="107C10"/>
          <w:sz w:val="22"/>
          <w:szCs w:val="22"/>
        </w:rPr>
        <w:t xml:space="preserve">☑  </w:t>
      </w:r>
      <w:r>
        <w:rPr>
          <w:rFonts w:ascii="Arial" w:cs="Arial" w:eastAsia="Arial" w:hAnsi="Arial"/>
          <w:color w:val="000000"/>
          <w:sz w:val="22"/>
          <w:szCs w:val="22"/>
        </w:rPr>
        <w:t xml:space="preserve">Calendar sharing between migrated and non-migrated users (hybrid) ✓</w:t>
      </w:r>
    </w:p>
    <w:p>
      <w:pPr>
        <w:pStyle w:val="ListParagraph"/>
        <w:numPr>
          <w:ilvl w:val="0"/>
          <w:numId w:val="4"/>
        </w:numPr>
        <w:spacing w:before="30" w:after="30"/>
      </w:pPr>
      <w:r>
        <w:rPr>
          <w:rFonts w:ascii="Arial" w:cs="Arial" w:eastAsia="Arial" w:hAnsi="Arial"/>
          <w:color w:val="107C10"/>
          <w:sz w:val="22"/>
          <w:szCs w:val="22"/>
        </w:rPr>
        <w:t xml:space="preserve">☑  </w:t>
      </w:r>
      <w:r>
        <w:rPr>
          <w:rFonts w:ascii="Arial" w:cs="Arial" w:eastAsia="Arial" w:hAnsi="Arial"/>
          <w:color w:val="000000"/>
          <w:sz w:val="22"/>
          <w:szCs w:val="22"/>
        </w:rPr>
        <w:t xml:space="preserve">Meeting requests accepted and declined correctly ✓</w:t>
      </w:r>
    </w:p>
    <w:p>
      <w:pPr>
        <w:pStyle w:val="ListParagraph"/>
        <w:numPr>
          <w:ilvl w:val="0"/>
          <w:numId w:val="4"/>
        </w:numPr>
        <w:spacing w:before="30" w:after="30"/>
      </w:pPr>
      <w:r>
        <w:rPr>
          <w:rFonts w:ascii="Arial" w:cs="Arial" w:eastAsia="Arial" w:hAnsi="Arial"/>
          <w:color w:val="107C10"/>
          <w:sz w:val="22"/>
          <w:szCs w:val="22"/>
        </w:rPr>
        <w:t xml:space="preserve">☑  </w:t>
      </w:r>
      <w:r>
        <w:rPr>
          <w:rFonts w:ascii="Arial" w:cs="Arial" w:eastAsia="Arial" w:hAnsi="Arial"/>
          <w:color w:val="000000"/>
          <w:sz w:val="22"/>
          <w:szCs w:val="22"/>
        </w:rPr>
        <w:t xml:space="preserve">Outlook mobile (iOS/Android) configured via Modern Auth ✓</w:t>
      </w:r>
    </w:p>
    <w:p>
      <w:pPr>
        <w:pStyle w:val="ListParagraph"/>
        <w:numPr>
          <w:ilvl w:val="0"/>
          <w:numId w:val="4"/>
        </w:numPr>
        <w:spacing w:before="30" w:after="30"/>
      </w:pPr>
      <w:r>
        <w:rPr>
          <w:rFonts w:ascii="Arial" w:cs="Arial" w:eastAsia="Arial" w:hAnsi="Arial"/>
          <w:color w:val="107C10"/>
          <w:sz w:val="22"/>
          <w:szCs w:val="22"/>
        </w:rPr>
        <w:t xml:space="preserve">☑  </w:t>
      </w:r>
      <w:r>
        <w:rPr>
          <w:rFonts w:ascii="Arial" w:cs="Arial" w:eastAsia="Arial" w:hAnsi="Arial"/>
          <w:color w:val="000000"/>
          <w:sz w:val="22"/>
          <w:szCs w:val="22"/>
        </w:rPr>
        <w:t xml:space="preserve">Shared mailboxes accessible to all delegates ✓</w:t>
      </w:r>
    </w:p>
    <w:p>
      <w:pPr>
        <w:pStyle w:val="ListParagraph"/>
        <w:numPr>
          <w:ilvl w:val="0"/>
          <w:numId w:val="4"/>
        </w:numPr>
        <w:spacing w:before="30" w:after="30"/>
      </w:pPr>
      <w:r>
        <w:rPr>
          <w:rFonts w:ascii="Arial" w:cs="Arial" w:eastAsia="Arial" w:hAnsi="Arial"/>
          <w:color w:val="107C10"/>
          <w:sz w:val="22"/>
          <w:szCs w:val="22"/>
        </w:rPr>
        <w:t xml:space="preserve">☑  </w:t>
      </w:r>
      <w:r>
        <w:rPr>
          <w:rFonts w:ascii="Arial" w:cs="Arial" w:eastAsia="Arial" w:hAnsi="Arial"/>
          <w:color w:val="000000"/>
          <w:sz w:val="22"/>
          <w:szCs w:val="22"/>
        </w:rPr>
        <w:t xml:space="preserve">Distribution groups delivering correctly ✓</w:t>
      </w:r>
    </w:p>
    <w:p>
      <w:pPr>
        <w:pStyle w:val="ListParagraph"/>
        <w:numPr>
          <w:ilvl w:val="0"/>
          <w:numId w:val="4"/>
        </w:numPr>
        <w:spacing w:before="30" w:after="30"/>
      </w:pPr>
      <w:r>
        <w:rPr>
          <w:rFonts w:ascii="Arial" w:cs="Arial" w:eastAsia="Arial" w:hAnsi="Arial"/>
          <w:color w:val="107C10"/>
          <w:sz w:val="22"/>
          <w:szCs w:val="22"/>
        </w:rPr>
        <w:t xml:space="preserve">☑  </w:t>
      </w:r>
      <w:r>
        <w:rPr>
          <w:rFonts w:ascii="Arial" w:cs="Arial" w:eastAsia="Arial" w:hAnsi="Arial"/>
          <w:color w:val="000000"/>
          <w:sz w:val="22"/>
          <w:szCs w:val="22"/>
        </w:rPr>
        <w:t xml:space="preserve">Out-of-office auto-replies functioning ✓</w:t>
      </w:r>
    </w:p>
    <w:p>
      <w:pPr>
        <w:pStyle w:val="ListParagraph"/>
        <w:numPr>
          <w:ilvl w:val="0"/>
          <w:numId w:val="4"/>
        </w:numPr>
        <w:spacing w:before="30" w:after="30"/>
      </w:pPr>
      <w:r>
        <w:rPr>
          <w:rFonts w:ascii="Arial" w:cs="Arial" w:eastAsia="Arial" w:hAnsi="Arial"/>
          <w:color w:val="107C10"/>
          <w:sz w:val="22"/>
          <w:szCs w:val="22"/>
        </w:rPr>
        <w:t xml:space="preserve">☑  </w:t>
      </w:r>
      <w:r>
        <w:rPr>
          <w:rFonts w:ascii="Arial" w:cs="Arial" w:eastAsia="Arial" w:hAnsi="Arial"/>
          <w:color w:val="000000"/>
          <w:sz w:val="22"/>
          <w:szCs w:val="22"/>
        </w:rPr>
        <w:t xml:space="preserve">Email signatures deployed via Exclaimer/M365 OWA ✓</w:t>
      </w:r>
    </w:p>
    <w:p>
      <w:pPr>
        <w:pStyle w:val="ListParagraph"/>
        <w:numPr>
          <w:ilvl w:val="0"/>
          <w:numId w:val="4"/>
        </w:numPr>
        <w:spacing w:before="30" w:after="30"/>
      </w:pPr>
      <w:r>
        <w:rPr>
          <w:rFonts w:ascii="Arial" w:cs="Arial" w:eastAsia="Arial" w:hAnsi="Arial"/>
          <w:color w:val="107C10"/>
          <w:sz w:val="22"/>
          <w:szCs w:val="22"/>
        </w:rPr>
        <w:t xml:space="preserve">☑  </w:t>
      </w:r>
      <w:r>
        <w:rPr>
          <w:rFonts w:ascii="Arial" w:cs="Arial" w:eastAsia="Arial" w:hAnsi="Arial"/>
          <w:color w:val="000000"/>
          <w:sz w:val="22"/>
          <w:szCs w:val="22"/>
        </w:rPr>
        <w:t xml:space="preserve">Journaling rules replicated in Exchange Online ✓</w:t>
      </w:r>
    </w:p>
    <w:p>
      <w:pPr>
        <w:spacing w:before="40" w:after="0"/>
      </w:pPr>
      <w:r>
        <w:t xml:space="preserve"/>
      </w:r>
    </w:p>
    <w:p>
      <w:pPr>
        <w:pStyle w:val="Heading3"/>
        <w:spacing w:before="180" w:after="80"/>
      </w:pPr>
      <w:r>
        <w:rPr>
          <w:rFonts w:ascii="Arial" w:cs="Arial" w:eastAsia="Arial" w:hAnsi="Arial"/>
          <w:b/>
          <w:bCs/>
          <w:color w:val="555555"/>
          <w:sz w:val="22"/>
          <w:szCs w:val="22"/>
        </w:rPr>
        <w:t xml:space="preserve">SharePoint &amp; OneDrive Validation</w:t>
      </w:r>
    </w:p>
    <w:p>
      <w:pPr>
        <w:pStyle w:val="ListParagraph"/>
        <w:numPr>
          <w:ilvl w:val="0"/>
          <w:numId w:val="4"/>
        </w:numPr>
        <w:spacing w:before="30" w:after="30"/>
      </w:pPr>
      <w:r>
        <w:rPr>
          <w:rFonts w:ascii="Arial" w:cs="Arial" w:eastAsia="Arial" w:hAnsi="Arial"/>
          <w:color w:val="107C10"/>
          <w:sz w:val="22"/>
          <w:szCs w:val="22"/>
        </w:rPr>
        <w:t xml:space="preserve">☑  </w:t>
      </w:r>
      <w:r>
        <w:rPr>
          <w:rFonts w:ascii="Arial" w:cs="Arial" w:eastAsia="Arial" w:hAnsi="Arial"/>
          <w:color w:val="000000"/>
          <w:sz w:val="22"/>
          <w:szCs w:val="22"/>
        </w:rPr>
        <w:t xml:space="preserve">All files accessible in SharePoint document libraries ✓</w:t>
      </w:r>
    </w:p>
    <w:p>
      <w:pPr>
        <w:pStyle w:val="ListParagraph"/>
        <w:numPr>
          <w:ilvl w:val="0"/>
          <w:numId w:val="4"/>
        </w:numPr>
        <w:spacing w:before="30" w:after="30"/>
      </w:pPr>
      <w:r>
        <w:rPr>
          <w:rFonts w:ascii="Arial" w:cs="Arial" w:eastAsia="Arial" w:hAnsi="Arial"/>
          <w:color w:val="107C10"/>
          <w:sz w:val="22"/>
          <w:szCs w:val="22"/>
        </w:rPr>
        <w:t xml:space="preserve">☑  </w:t>
      </w:r>
      <w:r>
        <w:rPr>
          <w:rFonts w:ascii="Arial" w:cs="Arial" w:eastAsia="Arial" w:hAnsi="Arial"/>
          <w:color w:val="000000"/>
          <w:sz w:val="22"/>
          <w:szCs w:val="22"/>
        </w:rPr>
        <w:t xml:space="preserve">Permissions match pre-migration NTFS ACL mapping ✓</w:t>
      </w:r>
    </w:p>
    <w:p>
      <w:pPr>
        <w:pStyle w:val="ListParagraph"/>
        <w:numPr>
          <w:ilvl w:val="0"/>
          <w:numId w:val="4"/>
        </w:numPr>
        <w:spacing w:before="30" w:after="30"/>
      </w:pPr>
      <w:r>
        <w:rPr>
          <w:rFonts w:ascii="Arial" w:cs="Arial" w:eastAsia="Arial" w:hAnsi="Arial"/>
          <w:color w:val="107C10"/>
          <w:sz w:val="22"/>
          <w:szCs w:val="22"/>
        </w:rPr>
        <w:t xml:space="preserve">☑  </w:t>
      </w:r>
      <w:r>
        <w:rPr>
          <w:rFonts w:ascii="Arial" w:cs="Arial" w:eastAsia="Arial" w:hAnsi="Arial"/>
          <w:color w:val="000000"/>
          <w:sz w:val="22"/>
          <w:szCs w:val="22"/>
        </w:rPr>
        <w:t xml:space="preserve">Co-authoring functional (two users editing Word doc simultaneously) ✓</w:t>
      </w:r>
    </w:p>
    <w:p>
      <w:pPr>
        <w:pStyle w:val="ListParagraph"/>
        <w:numPr>
          <w:ilvl w:val="0"/>
          <w:numId w:val="4"/>
        </w:numPr>
        <w:spacing w:before="30" w:after="30"/>
      </w:pPr>
      <w:r>
        <w:rPr>
          <w:rFonts w:ascii="Arial" w:cs="Arial" w:eastAsia="Arial" w:hAnsi="Arial"/>
          <w:color w:val="107C10"/>
          <w:sz w:val="22"/>
          <w:szCs w:val="22"/>
        </w:rPr>
        <w:t xml:space="preserve">☑  </w:t>
      </w:r>
      <w:r>
        <w:rPr>
          <w:rFonts w:ascii="Arial" w:cs="Arial" w:eastAsia="Arial" w:hAnsi="Arial"/>
          <w:color w:val="000000"/>
          <w:sz w:val="22"/>
          <w:szCs w:val="22"/>
        </w:rPr>
        <w:t xml:space="preserve">OneDrive Known Folder Move active on all managed devices ✓</w:t>
      </w:r>
    </w:p>
    <w:p>
      <w:pPr>
        <w:pStyle w:val="ListParagraph"/>
        <w:numPr>
          <w:ilvl w:val="0"/>
          <w:numId w:val="4"/>
        </w:numPr>
        <w:spacing w:before="30" w:after="30"/>
      </w:pPr>
      <w:r>
        <w:rPr>
          <w:rFonts w:ascii="Arial" w:cs="Arial" w:eastAsia="Arial" w:hAnsi="Arial"/>
          <w:color w:val="107C10"/>
          <w:sz w:val="22"/>
          <w:szCs w:val="22"/>
        </w:rPr>
        <w:t xml:space="preserve">☑  </w:t>
      </w:r>
      <w:r>
        <w:rPr>
          <w:rFonts w:ascii="Arial" w:cs="Arial" w:eastAsia="Arial" w:hAnsi="Arial"/>
          <w:color w:val="000000"/>
          <w:sz w:val="22"/>
          <w:szCs w:val="22"/>
        </w:rPr>
        <w:t xml:space="preserve">External sharing settings match policy requirements ✓</w:t>
      </w:r>
    </w:p>
    <w:p>
      <w:pPr>
        <w:pStyle w:val="ListParagraph"/>
        <w:numPr>
          <w:ilvl w:val="0"/>
          <w:numId w:val="4"/>
        </w:numPr>
        <w:spacing w:before="30" w:after="30"/>
      </w:pPr>
      <w:r>
        <w:rPr>
          <w:rFonts w:ascii="Arial" w:cs="Arial" w:eastAsia="Arial" w:hAnsi="Arial"/>
          <w:color w:val="107C10"/>
          <w:sz w:val="22"/>
          <w:szCs w:val="22"/>
        </w:rPr>
        <w:t xml:space="preserve">☑  </w:t>
      </w:r>
      <w:r>
        <w:rPr>
          <w:rFonts w:ascii="Arial" w:cs="Arial" w:eastAsia="Arial" w:hAnsi="Arial"/>
          <w:color w:val="000000"/>
          <w:sz w:val="22"/>
          <w:szCs w:val="22"/>
        </w:rPr>
        <w:t xml:space="preserve">Search indexing complete — documents discoverable in SharePoint search ✓</w:t>
      </w:r>
    </w:p>
    <w:p>
      <w:pPr>
        <w:spacing w:before="40" w:after="0"/>
      </w:pPr>
      <w:r>
        <w:t xml:space="preserve"/>
      </w:r>
    </w:p>
    <w:p>
      <w:pPr>
        <w:pStyle w:val="Heading3"/>
        <w:spacing w:before="180" w:after="80"/>
      </w:pPr>
      <w:r>
        <w:rPr>
          <w:rFonts w:ascii="Arial" w:cs="Arial" w:eastAsia="Arial" w:hAnsi="Arial"/>
          <w:b/>
          <w:bCs/>
          <w:color w:val="555555"/>
          <w:sz w:val="22"/>
          <w:szCs w:val="22"/>
        </w:rPr>
        <w:t xml:space="preserve">Security &amp; Compliance Validation</w:t>
      </w:r>
    </w:p>
    <w:p>
      <w:pPr>
        <w:pStyle w:val="ListParagraph"/>
        <w:numPr>
          <w:ilvl w:val="0"/>
          <w:numId w:val="4"/>
        </w:numPr>
        <w:spacing w:before="30" w:after="30"/>
      </w:pPr>
      <w:r>
        <w:rPr>
          <w:rFonts w:ascii="Arial" w:cs="Arial" w:eastAsia="Arial" w:hAnsi="Arial"/>
          <w:color w:val="107C10"/>
          <w:sz w:val="22"/>
          <w:szCs w:val="22"/>
        </w:rPr>
        <w:t xml:space="preserve">☑  </w:t>
      </w:r>
      <w:r>
        <w:rPr>
          <w:rFonts w:ascii="Arial" w:cs="Arial" w:eastAsia="Arial" w:hAnsi="Arial"/>
          <w:color w:val="000000"/>
          <w:sz w:val="22"/>
          <w:szCs w:val="22"/>
        </w:rPr>
        <w:t xml:space="preserve">MFA enforced for all 850 users (verify via Azure AD Sign-In Logs) ✓</w:t>
      </w:r>
    </w:p>
    <w:p>
      <w:pPr>
        <w:pStyle w:val="ListParagraph"/>
        <w:numPr>
          <w:ilvl w:val="0"/>
          <w:numId w:val="4"/>
        </w:numPr>
        <w:spacing w:before="30" w:after="30"/>
      </w:pPr>
      <w:r>
        <w:rPr>
          <w:rFonts w:ascii="Arial" w:cs="Arial" w:eastAsia="Arial" w:hAnsi="Arial"/>
          <w:color w:val="107C10"/>
          <w:sz w:val="22"/>
          <w:szCs w:val="22"/>
        </w:rPr>
        <w:t xml:space="preserve">☑  </w:t>
      </w:r>
      <w:r>
        <w:rPr>
          <w:rFonts w:ascii="Arial" w:cs="Arial" w:eastAsia="Arial" w:hAnsi="Arial"/>
          <w:color w:val="000000"/>
          <w:sz w:val="22"/>
          <w:szCs w:val="22"/>
        </w:rPr>
        <w:t xml:space="preserve">Conditional Access policies active and logging ✓</w:t>
      </w:r>
    </w:p>
    <w:p>
      <w:pPr>
        <w:pStyle w:val="ListParagraph"/>
        <w:numPr>
          <w:ilvl w:val="0"/>
          <w:numId w:val="4"/>
        </w:numPr>
        <w:spacing w:before="30" w:after="30"/>
      </w:pPr>
      <w:r>
        <w:rPr>
          <w:rFonts w:ascii="Arial" w:cs="Arial" w:eastAsia="Arial" w:hAnsi="Arial"/>
          <w:color w:val="107C10"/>
          <w:sz w:val="22"/>
          <w:szCs w:val="22"/>
        </w:rPr>
        <w:t xml:space="preserve">☑  </w:t>
      </w:r>
      <w:r>
        <w:rPr>
          <w:rFonts w:ascii="Arial" w:cs="Arial" w:eastAsia="Arial" w:hAnsi="Arial"/>
          <w:color w:val="000000"/>
          <w:sz w:val="22"/>
          <w:szCs w:val="22"/>
        </w:rPr>
        <w:t xml:space="preserve">Defender for Office 365 — test phishing email quarantined correctly ✓</w:t>
      </w:r>
    </w:p>
    <w:p>
      <w:pPr>
        <w:pStyle w:val="ListParagraph"/>
        <w:numPr>
          <w:ilvl w:val="0"/>
          <w:numId w:val="4"/>
        </w:numPr>
        <w:spacing w:before="30" w:after="30"/>
      </w:pPr>
      <w:r>
        <w:rPr>
          <w:rFonts w:ascii="Arial" w:cs="Arial" w:eastAsia="Arial" w:hAnsi="Arial"/>
          <w:color w:val="107C10"/>
          <w:sz w:val="22"/>
          <w:szCs w:val="22"/>
        </w:rPr>
        <w:t xml:space="preserve">☑  </w:t>
      </w:r>
      <w:r>
        <w:rPr>
          <w:rFonts w:ascii="Arial" w:cs="Arial" w:eastAsia="Arial" w:hAnsi="Arial"/>
          <w:color w:val="000000"/>
          <w:sz w:val="22"/>
          <w:szCs w:val="22"/>
        </w:rPr>
        <w:t xml:space="preserve">DKIM and DMARC passing for outbound email (use mail-tester.com) ✓</w:t>
      </w:r>
    </w:p>
    <w:p>
      <w:pPr>
        <w:pStyle w:val="ListParagraph"/>
        <w:numPr>
          <w:ilvl w:val="0"/>
          <w:numId w:val="4"/>
        </w:numPr>
        <w:spacing w:before="30" w:after="30"/>
      </w:pPr>
      <w:r>
        <w:rPr>
          <w:rFonts w:ascii="Arial" w:cs="Arial" w:eastAsia="Arial" w:hAnsi="Arial"/>
          <w:color w:val="107C10"/>
          <w:sz w:val="22"/>
          <w:szCs w:val="22"/>
        </w:rPr>
        <w:t xml:space="preserve">☑  </w:t>
      </w:r>
      <w:r>
        <w:rPr>
          <w:rFonts w:ascii="Arial" w:cs="Arial" w:eastAsia="Arial" w:hAnsi="Arial"/>
          <w:color w:val="000000"/>
          <w:sz w:val="22"/>
          <w:szCs w:val="22"/>
        </w:rPr>
        <w:t xml:space="preserve">DLP policies detecting test credit card numbers in email ✓</w:t>
      </w:r>
    </w:p>
    <w:p>
      <w:pPr>
        <w:pStyle w:val="ListParagraph"/>
        <w:numPr>
          <w:ilvl w:val="0"/>
          <w:numId w:val="4"/>
        </w:numPr>
        <w:spacing w:before="30" w:after="30"/>
      </w:pPr>
      <w:r>
        <w:rPr>
          <w:rFonts w:ascii="Arial" w:cs="Arial" w:eastAsia="Arial" w:hAnsi="Arial"/>
          <w:color w:val="107C10"/>
          <w:sz w:val="22"/>
          <w:szCs w:val="22"/>
        </w:rPr>
        <w:t xml:space="preserve">☑  </w:t>
      </w:r>
      <w:r>
        <w:rPr>
          <w:rFonts w:ascii="Arial" w:cs="Arial" w:eastAsia="Arial" w:hAnsi="Arial"/>
          <w:color w:val="000000"/>
          <w:sz w:val="22"/>
          <w:szCs w:val="22"/>
        </w:rPr>
        <w:t xml:space="preserve">Unified Audit Log capturing user and admin activities ✓</w:t>
      </w:r>
    </w:p>
    <w:p>
      <w:pPr>
        <w:pStyle w:val="ListParagraph"/>
        <w:numPr>
          <w:ilvl w:val="0"/>
          <w:numId w:val="4"/>
        </w:numPr>
        <w:spacing w:before="30" w:after="30"/>
      </w:pPr>
      <w:r>
        <w:rPr>
          <w:rFonts w:ascii="Arial" w:cs="Arial" w:eastAsia="Arial" w:hAnsi="Arial"/>
          <w:color w:val="107C10"/>
          <w:sz w:val="22"/>
          <w:szCs w:val="22"/>
        </w:rPr>
        <w:t xml:space="preserve">☑  </w:t>
      </w:r>
      <w:r>
        <w:rPr>
          <w:rFonts w:ascii="Arial" w:cs="Arial" w:eastAsia="Arial" w:hAnsi="Arial"/>
          <w:color w:val="000000"/>
          <w:sz w:val="22"/>
          <w:szCs w:val="22"/>
        </w:rPr>
        <w:t xml:space="preserve">Microsoft Secure Score measured and baselined post-migration ✓</w:t>
      </w:r>
    </w:p>
    <w:p>
      <w:pPr>
        <w:spacing w:before="40" w:after="0"/>
      </w:pPr>
      <w:r>
        <w:t xml:space="preserve"/>
      </w:r>
    </w:p>
    <w:p>
      <w:pPr>
        <w:pStyle w:val="Heading3"/>
        <w:spacing w:before="180" w:after="80"/>
      </w:pPr>
      <w:r>
        <w:rPr>
          <w:rFonts w:ascii="Arial" w:cs="Arial" w:eastAsia="Arial" w:hAnsi="Arial"/>
          <w:b/>
          <w:bCs/>
          <w:color w:val="555555"/>
          <w:sz w:val="22"/>
          <w:szCs w:val="22"/>
        </w:rPr>
        <w:t xml:space="preserve">Troubleshooting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19"/>
                <w:szCs w:val="19"/>
              </w:rPr>
              <w:t xml:space="preserve">Issue</w:t>
            </w:r>
          </w:p>
        </w:tc>
        <w:tc>
          <w:tcPr>
            <w:tcW w:type="dxa" w:w="586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19"/>
                <w:szCs w:val="19"/>
              </w:rPr>
              <w:t xml:space="preserve">Resolution</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Outlook prompting for credentials repeatedly</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Disable Basic Auth on the on-premises virtual directory. Enable Modern Authentication on Exchange Online tenant.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Free/busy showing as 'No Information' for hybrid users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Verify OAuth is configured correctly via HCW. Run Test-OAuthConnectivity PowerShell cmdlet.</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Migration batch stuck at 95%</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Check for corrupted items (ItemsSkipped &gt; 0). Use -BadItemLimit 50 parameter to bypass bad items.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OneDrive sync client showing conflicts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Run 'OneDrive /reset' on affected machines. Verify no two devices are syncing the same folder.</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External email not delivering (NDR 550 5.7.64)</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Check SPF record includes spf.protection.outlook.com. Verify no old MX records still exist in DNS.</w:t>
            </w:r>
          </w:p>
        </w:tc>
      </w:tr>
      <w:tr>
        <w:tc>
          <w:tcPr>
            <w:tcW w:type="dxa" w:w="3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SharePoint permissions not matching expectation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Review site collection admin and verify SharePoint groups were mapped correctly from NTFS ACL doc.</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8D4" w:val="clear"/>
            <w:tcMar>
              <w:top w:type="dxa" w:w="160"/>
              <w:left w:type="dxa" w:w="300"/>
              <w:bottom w:type="dxa" w:w="160"/>
              <w:right w:type="dxa" w:w="300"/>
            </w:tcMar>
          </w:tcPr>
          <w:p>
            <w:pPr>
              <w:spacing w:before="0" w:after="40"/>
            </w:pPr>
            <w:r>
              <w:rPr>
                <w:rFonts w:ascii="Arial" w:cs="Arial" w:eastAsia="Arial" w:hAnsi="Arial"/>
                <w:b/>
                <w:bCs/>
                <w:caps/>
                <w:color w:val="A8D4F5"/>
                <w:sz w:val="18"/>
                <w:szCs w:val="18"/>
              </w:rPr>
              <w:t xml:space="preserve">PHASE 5</w:t>
            </w:r>
          </w:p>
          <w:p>
            <w:pPr>
              <w:spacing w:before="0" w:after="20"/>
            </w:pPr>
            <w:r>
              <w:rPr>
                <w:rFonts w:ascii="Arial" w:cs="Arial" w:eastAsia="Arial" w:hAnsi="Arial"/>
                <w:b/>
                <w:bCs/>
                <w:color w:val="FFFFFF"/>
                <w:sz w:val="30"/>
                <w:szCs w:val="30"/>
              </w:rPr>
              <w:t xml:space="preserve">Closeout &amp; Decommissioning</w:t>
            </w:r>
          </w:p>
          <w:p>
            <w:pPr>
              <w:spacing w:before="0" w:after="0"/>
            </w:pPr>
            <w:r>
              <w:rPr>
                <w:rFonts w:ascii="Arial" w:cs="Arial" w:eastAsia="Arial" w:hAnsi="Arial"/>
                <w:color w:val="D0E9FF"/>
                <w:sz w:val="20"/>
                <w:szCs w:val="20"/>
              </w:rPr>
              <w:t xml:space="preserve">Week 16  |  Owner: Project Manager + IT Director</w:t>
            </w:r>
          </w:p>
        </w:tc>
      </w:tr>
    </w:tbl>
    <w:p>
      <w:pPr>
        <w:spacing w:before="60" w:after="0"/>
      </w:pPr>
      <w:r>
        <w:t xml:space="preserve"/>
      </w:r>
    </w:p>
    <w:p>
      <w:pPr>
        <w:pStyle w:val="Heading2"/>
        <w:spacing w:before="240" w:after="100"/>
      </w:pPr>
      <w:r>
        <w:rPr>
          <w:rFonts w:ascii="Arial" w:cs="Arial" w:eastAsia="Arial" w:hAnsi="Arial"/>
          <w:b/>
          <w:bCs/>
          <w:color w:val="1A1A2E"/>
          <w:sz w:val="26"/>
          <w:szCs w:val="26"/>
        </w:rPr>
        <w:t xml:space="preserve">4.6 Decommissioning Checklist</w:t>
      </w:r>
    </w:p>
    <w:p>
      <w:pPr>
        <w:pStyle w:val="Heading3"/>
        <w:spacing w:before="180" w:after="80"/>
      </w:pPr>
      <w:r>
        <w:rPr>
          <w:rFonts w:ascii="Arial" w:cs="Arial" w:eastAsia="Arial" w:hAnsi="Arial"/>
          <w:b/>
          <w:bCs/>
          <w:color w:val="555555"/>
          <w:sz w:val="22"/>
          <w:szCs w:val="22"/>
        </w:rPr>
        <w:t xml:space="preserve">Exchange Server Decommission</w:t>
      </w:r>
    </w:p>
    <w:p>
      <w:pPr>
        <w:pStyle w:val="ListParagraph"/>
        <w:numPr>
          <w:ilvl w:val="0"/>
          <w:numId w:val="4"/>
        </w:numPr>
        <w:spacing w:before="30" w:after="30"/>
      </w:pPr>
      <w:r>
        <w:rPr>
          <w:rFonts w:ascii="Arial" w:cs="Arial" w:eastAsia="Arial" w:hAnsi="Arial"/>
          <w:color w:val="555555"/>
          <w:sz w:val="22"/>
          <w:szCs w:val="22"/>
        </w:rPr>
        <w:t xml:space="preserve">☐  </w:t>
      </w:r>
      <w:r>
        <w:rPr>
          <w:rFonts w:ascii="Arial" w:cs="Arial" w:eastAsia="Arial" w:hAnsi="Arial"/>
          <w:color w:val="000000"/>
          <w:sz w:val="22"/>
          <w:szCs w:val="22"/>
        </w:rPr>
        <w:t xml:space="preserve">All 850 mailboxes confirmed migrated to Exchange Online (Get-Mailbox -Server EXCH01 returns zero results)</w:t>
      </w:r>
    </w:p>
    <w:p>
      <w:pPr>
        <w:pStyle w:val="ListParagraph"/>
        <w:numPr>
          <w:ilvl w:val="0"/>
          <w:numId w:val="4"/>
        </w:numPr>
        <w:spacing w:before="30" w:after="30"/>
      </w:pPr>
      <w:r>
        <w:rPr>
          <w:rFonts w:ascii="Arial" w:cs="Arial" w:eastAsia="Arial" w:hAnsi="Arial"/>
          <w:color w:val="555555"/>
          <w:sz w:val="22"/>
          <w:szCs w:val="22"/>
        </w:rPr>
        <w:t xml:space="preserve">☐  </w:t>
      </w:r>
      <w:r>
        <w:rPr>
          <w:rFonts w:ascii="Arial" w:cs="Arial" w:eastAsia="Arial" w:hAnsi="Arial"/>
          <w:color w:val="000000"/>
          <w:sz w:val="22"/>
          <w:szCs w:val="22"/>
        </w:rPr>
        <w:t xml:space="preserve">All mail-enabled public folders migrated or retired</w:t>
      </w:r>
    </w:p>
    <w:p>
      <w:pPr>
        <w:pStyle w:val="ListParagraph"/>
        <w:numPr>
          <w:ilvl w:val="0"/>
          <w:numId w:val="4"/>
        </w:numPr>
        <w:spacing w:before="30" w:after="30"/>
      </w:pPr>
      <w:r>
        <w:rPr>
          <w:rFonts w:ascii="Arial" w:cs="Arial" w:eastAsia="Arial" w:hAnsi="Arial"/>
          <w:color w:val="555555"/>
          <w:sz w:val="22"/>
          <w:szCs w:val="22"/>
        </w:rPr>
        <w:t xml:space="preserve">☐  </w:t>
      </w:r>
      <w:r>
        <w:rPr>
          <w:rFonts w:ascii="Arial" w:cs="Arial" w:eastAsia="Arial" w:hAnsi="Arial"/>
          <w:color w:val="000000"/>
          <w:sz w:val="22"/>
          <w:szCs w:val="22"/>
        </w:rPr>
        <w:t xml:space="preserve">Exchange Hybrid coexistence maintained for 30 days post-final-batch (do NOT decommission Exchange immediately)</w:t>
      </w:r>
    </w:p>
    <w:p>
      <w:pPr>
        <w:pStyle w:val="ListParagraph"/>
        <w:numPr>
          <w:ilvl w:val="0"/>
          <w:numId w:val="4"/>
        </w:numPr>
        <w:spacing w:before="30" w:after="30"/>
      </w:pPr>
      <w:r>
        <w:rPr>
          <w:rFonts w:ascii="Arial" w:cs="Arial" w:eastAsia="Arial" w:hAnsi="Arial"/>
          <w:color w:val="555555"/>
          <w:sz w:val="22"/>
          <w:szCs w:val="22"/>
        </w:rPr>
        <w:t xml:space="preserve">☐  </w:t>
      </w:r>
      <w:r>
        <w:rPr>
          <w:rFonts w:ascii="Arial" w:cs="Arial" w:eastAsia="Arial" w:hAnsi="Arial"/>
          <w:color w:val="000000"/>
          <w:sz w:val="22"/>
          <w:szCs w:val="22"/>
        </w:rPr>
        <w:t xml:space="preserve">Connectors and transport rules validated in Exchange Online</w:t>
      </w:r>
    </w:p>
    <w:p>
      <w:pPr>
        <w:pStyle w:val="ListParagraph"/>
        <w:numPr>
          <w:ilvl w:val="0"/>
          <w:numId w:val="4"/>
        </w:numPr>
        <w:spacing w:before="30" w:after="30"/>
      </w:pPr>
      <w:r>
        <w:rPr>
          <w:rFonts w:ascii="Arial" w:cs="Arial" w:eastAsia="Arial" w:hAnsi="Arial"/>
          <w:color w:val="555555"/>
          <w:sz w:val="22"/>
          <w:szCs w:val="22"/>
        </w:rPr>
        <w:t xml:space="preserve">☐  </w:t>
      </w:r>
      <w:r>
        <w:rPr>
          <w:rFonts w:ascii="Arial" w:cs="Arial" w:eastAsia="Arial" w:hAnsi="Arial"/>
          <w:color w:val="000000"/>
          <w:sz w:val="22"/>
          <w:szCs w:val="22"/>
        </w:rPr>
        <w:t xml:space="preserve">Exchange Server databases dismounted and backed up to cold storage</w:t>
      </w:r>
    </w:p>
    <w:p>
      <w:pPr>
        <w:pStyle w:val="ListParagraph"/>
        <w:numPr>
          <w:ilvl w:val="0"/>
          <w:numId w:val="4"/>
        </w:numPr>
        <w:spacing w:before="30" w:after="30"/>
      </w:pPr>
      <w:r>
        <w:rPr>
          <w:rFonts w:ascii="Arial" w:cs="Arial" w:eastAsia="Arial" w:hAnsi="Arial"/>
          <w:color w:val="555555"/>
          <w:sz w:val="22"/>
          <w:szCs w:val="22"/>
        </w:rPr>
        <w:t xml:space="preserve">☐  </w:t>
      </w:r>
      <w:r>
        <w:rPr>
          <w:rFonts w:ascii="Arial" w:cs="Arial" w:eastAsia="Arial" w:hAnsi="Arial"/>
          <w:color w:val="000000"/>
          <w:sz w:val="22"/>
          <w:szCs w:val="22"/>
        </w:rPr>
        <w:t xml:space="preserve">Exchange services stopped and server powered down (do not uninstall yet — 30-day hold)</w:t>
      </w:r>
    </w:p>
    <w:p>
      <w:pPr>
        <w:pStyle w:val="ListParagraph"/>
        <w:numPr>
          <w:ilvl w:val="0"/>
          <w:numId w:val="4"/>
        </w:numPr>
        <w:spacing w:before="30" w:after="30"/>
      </w:pPr>
      <w:r>
        <w:rPr>
          <w:rFonts w:ascii="Arial" w:cs="Arial" w:eastAsia="Arial" w:hAnsi="Arial"/>
          <w:color w:val="555555"/>
          <w:sz w:val="22"/>
          <w:szCs w:val="22"/>
        </w:rPr>
        <w:t xml:space="preserve">☐  </w:t>
      </w:r>
      <w:r>
        <w:rPr>
          <w:rFonts w:ascii="Arial" w:cs="Arial" w:eastAsia="Arial" w:hAnsi="Arial"/>
          <w:color w:val="000000"/>
          <w:sz w:val="22"/>
          <w:szCs w:val="22"/>
        </w:rPr>
        <w:t xml:space="preserve">After 30-day hold: uninstall Exchange, decommission VM, reclaim resources</w:t>
      </w:r>
    </w:p>
    <w:p>
      <w:pPr>
        <w:spacing w:before="40" w:after="0"/>
      </w:pPr>
      <w:r>
        <w:t xml:space="preserve"/>
      </w:r>
    </w:p>
    <w:p>
      <w:pPr>
        <w:pStyle w:val="Heading3"/>
        <w:spacing w:before="180" w:after="80"/>
      </w:pPr>
      <w:r>
        <w:rPr>
          <w:rFonts w:ascii="Arial" w:cs="Arial" w:eastAsia="Arial" w:hAnsi="Arial"/>
          <w:b/>
          <w:bCs/>
          <w:color w:val="555555"/>
          <w:sz w:val="22"/>
          <w:szCs w:val="22"/>
        </w:rPr>
        <w:t xml:space="preserve">File Server Decommission</w:t>
      </w:r>
    </w:p>
    <w:p>
      <w:pPr>
        <w:pStyle w:val="ListParagraph"/>
        <w:numPr>
          <w:ilvl w:val="0"/>
          <w:numId w:val="4"/>
        </w:numPr>
        <w:spacing w:before="30" w:after="30"/>
      </w:pPr>
      <w:r>
        <w:rPr>
          <w:rFonts w:ascii="Arial" w:cs="Arial" w:eastAsia="Arial" w:hAnsi="Arial"/>
          <w:color w:val="555555"/>
          <w:sz w:val="22"/>
          <w:szCs w:val="22"/>
        </w:rPr>
        <w:t xml:space="preserve">☐  </w:t>
      </w:r>
      <w:r>
        <w:rPr>
          <w:rFonts w:ascii="Arial" w:cs="Arial" w:eastAsia="Arial" w:hAnsi="Arial"/>
          <w:color w:val="000000"/>
          <w:sz w:val="22"/>
          <w:szCs w:val="22"/>
        </w:rPr>
        <w:t xml:space="preserve">Final Pass 3 migration completed and validated</w:t>
      </w:r>
    </w:p>
    <w:p>
      <w:pPr>
        <w:pStyle w:val="ListParagraph"/>
        <w:numPr>
          <w:ilvl w:val="0"/>
          <w:numId w:val="4"/>
        </w:numPr>
        <w:spacing w:before="30" w:after="30"/>
      </w:pPr>
      <w:r>
        <w:rPr>
          <w:rFonts w:ascii="Arial" w:cs="Arial" w:eastAsia="Arial" w:hAnsi="Arial"/>
          <w:color w:val="555555"/>
          <w:sz w:val="22"/>
          <w:szCs w:val="22"/>
        </w:rPr>
        <w:t xml:space="preserve">☐  </w:t>
      </w:r>
      <w:r>
        <w:rPr>
          <w:rFonts w:ascii="Arial" w:cs="Arial" w:eastAsia="Arial" w:hAnsi="Arial"/>
          <w:color w:val="000000"/>
          <w:sz w:val="22"/>
          <w:szCs w:val="22"/>
        </w:rPr>
        <w:t xml:space="preserve">All DFS namespace paths redirected to SharePoint URLs (via DFS referrals update)</w:t>
      </w:r>
    </w:p>
    <w:p>
      <w:pPr>
        <w:pStyle w:val="ListParagraph"/>
        <w:numPr>
          <w:ilvl w:val="0"/>
          <w:numId w:val="4"/>
        </w:numPr>
        <w:spacing w:before="30" w:after="30"/>
      </w:pPr>
      <w:r>
        <w:rPr>
          <w:rFonts w:ascii="Arial" w:cs="Arial" w:eastAsia="Arial" w:hAnsi="Arial"/>
          <w:color w:val="555555"/>
          <w:sz w:val="22"/>
          <w:szCs w:val="22"/>
        </w:rPr>
        <w:t xml:space="preserve">☐  </w:t>
      </w:r>
      <w:r>
        <w:rPr>
          <w:rFonts w:ascii="Arial" w:cs="Arial" w:eastAsia="Arial" w:hAnsi="Arial"/>
          <w:color w:val="000000"/>
          <w:sz w:val="22"/>
          <w:szCs w:val="22"/>
        </w:rPr>
        <w:t xml:space="preserve">File server taken offline in read-only mode for 2 weeks (user access to old paths disabled)</w:t>
      </w:r>
    </w:p>
    <w:p>
      <w:pPr>
        <w:pStyle w:val="ListParagraph"/>
        <w:numPr>
          <w:ilvl w:val="0"/>
          <w:numId w:val="4"/>
        </w:numPr>
        <w:spacing w:before="30" w:after="30"/>
      </w:pPr>
      <w:r>
        <w:rPr>
          <w:rFonts w:ascii="Arial" w:cs="Arial" w:eastAsia="Arial" w:hAnsi="Arial"/>
          <w:color w:val="555555"/>
          <w:sz w:val="22"/>
          <w:szCs w:val="22"/>
        </w:rPr>
        <w:t xml:space="preserve">☐  </w:t>
      </w:r>
      <w:r>
        <w:rPr>
          <w:rFonts w:ascii="Arial" w:cs="Arial" w:eastAsia="Arial" w:hAnsi="Arial"/>
          <w:color w:val="000000"/>
          <w:sz w:val="22"/>
          <w:szCs w:val="22"/>
        </w:rPr>
        <w:t xml:space="preserve">No access complaints received during 2-week window</w:t>
      </w:r>
    </w:p>
    <w:p>
      <w:pPr>
        <w:pStyle w:val="ListParagraph"/>
        <w:numPr>
          <w:ilvl w:val="0"/>
          <w:numId w:val="4"/>
        </w:numPr>
        <w:spacing w:before="30" w:after="30"/>
      </w:pPr>
      <w:r>
        <w:rPr>
          <w:rFonts w:ascii="Arial" w:cs="Arial" w:eastAsia="Arial" w:hAnsi="Arial"/>
          <w:color w:val="555555"/>
          <w:sz w:val="22"/>
          <w:szCs w:val="22"/>
        </w:rPr>
        <w:t xml:space="preserve">☐  </w:t>
      </w:r>
      <w:r>
        <w:rPr>
          <w:rFonts w:ascii="Arial" w:cs="Arial" w:eastAsia="Arial" w:hAnsi="Arial"/>
          <w:color w:val="000000"/>
          <w:sz w:val="22"/>
          <w:szCs w:val="22"/>
        </w:rPr>
        <w:t xml:space="preserve">File server decommissioned, storage reclaimed</w:t>
      </w:r>
    </w:p>
    <w:p>
      <w:pPr>
        <w:spacing w:before="40" w:after="0"/>
      </w:pPr>
      <w:r>
        <w:t xml:space="preserve"/>
      </w:r>
    </w:p>
    <w:p>
      <w:pPr>
        <w:pStyle w:val="Heading3"/>
        <w:spacing w:before="180" w:after="80"/>
      </w:pPr>
      <w:r>
        <w:rPr>
          <w:rFonts w:ascii="Arial" w:cs="Arial" w:eastAsia="Arial" w:hAnsi="Arial"/>
          <w:b/>
          <w:bCs/>
          <w:color w:val="555555"/>
          <w:sz w:val="22"/>
          <w:szCs w:val="22"/>
        </w:rPr>
        <w:t xml:space="preserve">User Adoption</w:t>
      </w:r>
    </w:p>
    <w:p>
      <w:pPr>
        <w:pStyle w:val="ListParagraph"/>
        <w:numPr>
          <w:ilvl w:val="0"/>
          <w:numId w:val="2"/>
        </w:numPr>
        <w:spacing w:before="40" w:after="40"/>
      </w:pPr>
      <w:r>
        <w:rPr>
          <w:rFonts w:ascii="Arial" w:cs="Arial" w:eastAsia="Arial" w:hAnsi="Arial"/>
          <w:color w:val="000000"/>
          <w:sz w:val="22"/>
          <w:szCs w:val="22"/>
        </w:rPr>
        <w:t xml:space="preserve">Week 14: Microsoft Teams training sessions (1 hour, per department, recorded and uploaded to SharePoint).</w:t>
      </w:r>
    </w:p>
    <w:p>
      <w:pPr>
        <w:pStyle w:val="ListParagraph"/>
        <w:numPr>
          <w:ilvl w:val="0"/>
          <w:numId w:val="2"/>
        </w:numPr>
        <w:spacing w:before="40" w:after="40"/>
      </w:pPr>
      <w:r>
        <w:rPr>
          <w:rFonts w:ascii="Arial" w:cs="Arial" w:eastAsia="Arial" w:hAnsi="Arial"/>
          <w:color w:val="000000"/>
          <w:sz w:val="22"/>
          <w:szCs w:val="22"/>
        </w:rPr>
        <w:t xml:space="preserve">Week 14: OneDrive &amp; SharePoint quick reference guide distributed to all users (laminated card + digital PDF).</w:t>
      </w:r>
    </w:p>
    <w:p>
      <w:pPr>
        <w:pStyle w:val="ListParagraph"/>
        <w:numPr>
          <w:ilvl w:val="0"/>
          <w:numId w:val="2"/>
        </w:numPr>
        <w:spacing w:before="40" w:after="40"/>
      </w:pPr>
      <w:r>
        <w:rPr>
          <w:rFonts w:ascii="Arial" w:cs="Arial" w:eastAsia="Arial" w:hAnsi="Arial"/>
          <w:color w:val="000000"/>
          <w:sz w:val="22"/>
          <w:szCs w:val="22"/>
        </w:rPr>
        <w:t xml:space="preserve">Week 15: Lunch-and-learn sessions in each office — voluntary but incentivized with lunch vouchers.</w:t>
      </w:r>
    </w:p>
    <w:p>
      <w:pPr>
        <w:pStyle w:val="ListParagraph"/>
        <w:numPr>
          <w:ilvl w:val="0"/>
          <w:numId w:val="2"/>
        </w:numPr>
        <w:spacing w:before="40" w:after="40"/>
      </w:pPr>
      <w:r>
        <w:rPr>
          <w:rFonts w:ascii="Arial" w:cs="Arial" w:eastAsia="Arial" w:hAnsi="Arial"/>
          <w:color w:val="000000"/>
          <w:sz w:val="22"/>
          <w:szCs w:val="22"/>
        </w:rPr>
        <w:t xml:space="preserve">Week 16: 30-day post-migration helpdesk support SLA: all M365-related tickets responded to within 1 business hour.</w:t>
      </w:r>
    </w:p>
    <w:p>
      <w:pPr>
        <w:pStyle w:val="ListParagraph"/>
        <w:numPr>
          <w:ilvl w:val="0"/>
          <w:numId w:val="2"/>
        </w:numPr>
        <w:spacing w:before="40" w:after="40"/>
      </w:pPr>
      <w:r>
        <w:rPr>
          <w:rFonts w:ascii="Arial" w:cs="Arial" w:eastAsia="Arial" w:hAnsi="Arial"/>
          <w:color w:val="000000"/>
          <w:sz w:val="22"/>
          <w:szCs w:val="22"/>
        </w:rPr>
        <w:t xml:space="preserve">Week 16+: Monthly Microsoft 365 adoption score reviewed in IT leadership meeting. Target: 75+ adoption score by Week 24.</w:t>
      </w:r>
    </w:p>
    <w:p>
      <w:r>
        <w:br w:type="page"/>
      </w:r>
    </w:p>
    <w:p>
      <w:pPr>
        <w:pStyle w:val="Heading1"/>
        <w:pBdr>
          <w:bottom w:val="single" w:color="0078D4" w:sz="6" w:space="4"/>
        </w:pBdr>
        <w:spacing w:before="320" w:after="160"/>
      </w:pPr>
      <w:r>
        <w:rPr>
          <w:rFonts w:ascii="Arial" w:cs="Arial" w:eastAsia="Arial" w:hAnsi="Arial"/>
          <w:b/>
          <w:bCs/>
          <w:color w:val="0078D4"/>
          <w:sz w:val="32"/>
          <w:szCs w:val="32"/>
        </w:rPr>
        <w:t xml:space="preserve">5. PowerShell &amp; Automation Scripts</w:t>
      </w:r>
    </w:p>
    <w:p>
      <w:pPr>
        <w:spacing w:before="60" w:after="0"/>
      </w:pPr>
      <w:r>
        <w:t xml:space="preserve"/>
      </w:r>
    </w:p>
    <w:tbl>
      <w:tblPr>
        <w:tblW w:type="dxa" w:w="9360"/>
        <w:tblBorders>
          <w:top w:val="single" w:color="D1A000" w:sz="4"/>
          <w:left w:val="single" w:color="D1A000" w:sz="4"/>
          <w:bottom w:val="single" w:color="D1A000" w:sz="4"/>
          <w:right w:val="single" w:color="D1A000"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4CE" w:val="clear"/>
            <w:tcMar>
              <w:top w:type="dxa" w:w="80"/>
              <w:left w:type="dxa" w:w="200"/>
              <w:bottom w:type="dxa" w:w="80"/>
              <w:right w:type="dxa" w:w="200"/>
            </w:tcMar>
          </w:tcPr>
          <w:p/>
        </w:tc>
      </w:tr>
    </w:tbl>
    <w:p>
      <w:pPr>
        <w:spacing w:before="60" w:after="0"/>
      </w:pPr>
      <w:r>
        <w:t xml:space="preserve"/>
      </w:r>
    </w:p>
    <w:p>
      <w:pPr>
        <w:pStyle w:val="Heading2"/>
        <w:spacing w:before="240" w:after="100"/>
      </w:pPr>
      <w:r>
        <w:rPr>
          <w:rFonts w:ascii="Arial" w:cs="Arial" w:eastAsia="Arial" w:hAnsi="Arial"/>
          <w:b/>
          <w:bCs/>
          <w:color w:val="1A1A2E"/>
          <w:sz w:val="26"/>
          <w:szCs w:val="26"/>
        </w:rPr>
        <w:t xml:space="preserve">5.1 Bulk User Creation from CSV</w:t>
      </w:r>
    </w:p>
    <w:p>
      <w:pPr>
        <w:spacing w:before="60" w:after="60"/>
      </w:pPr>
      <w:r>
        <w:rPr>
          <w:rFonts w:ascii="Arial" w:cs="Arial" w:eastAsia="Arial" w:hAnsi="Arial"/>
          <w:color w:val="000000"/>
          <w:sz w:val="22"/>
          <w:szCs w:val="22"/>
        </w:rPr>
        <w:t xml:space="preserve">Use this script to create Microsoft 365 user accounts in bulk from the HR system export CSV. Required CSV columns: DisplayName, UserPrincipalName, Department, JobTitle, Manager.</w:t>
      </w:r>
    </w:p>
    <w:p>
      <w:pPr>
        <w:spacing w:before="40" w:after="0"/>
      </w:pPr>
      <w:r>
        <w:t xml:space="preserve"/>
      </w:r>
    </w:p>
    <w:p>
      <w:pPr>
        <w:spacing w:before="40" w:after="40"/>
        <w:ind w:left="360"/>
      </w:pPr>
      <w:r>
        <w:rPr>
          <w:rFonts w:ascii="Courier New" w:cs="Courier New" w:eastAsia="Courier New" w:hAnsi="Courier New"/>
          <w:color w:val="C7254E"/>
          <w:sz w:val="18"/>
          <w:szCs w:val="18"/>
        </w:rPr>
        <w:t xml:space="preserve"># === BULK USER CREATION FROM CSV ===</w:t>
      </w:r>
    </w:p>
    <w:p>
      <w:pPr>
        <w:spacing w:before="40" w:after="40"/>
        <w:ind w:left="360"/>
      </w:pPr>
      <w:r>
        <w:rPr>
          <w:rFonts w:ascii="Courier New" w:cs="Courier New" w:eastAsia="Courier New" w:hAnsi="Courier New"/>
          <w:color w:val="C7254E"/>
          <w:sz w:val="18"/>
          <w:szCs w:val="18"/>
        </w:rPr>
        <w:t xml:space="preserve">Connect-MgGraph -Scopes 'User.ReadWrite.All'</w:t>
      </w:r>
    </w:p>
    <w:p>
      <w:pPr>
        <w:spacing w:before="40" w:after="40"/>
        <w:ind w:left="360"/>
      </w:pPr>
      <w:r>
        <w:rPr>
          <w:rFonts w:ascii="Courier New" w:cs="Courier New" w:eastAsia="Courier New" w:hAnsi="Courier New"/>
          <w:color w:val="C7254E"/>
          <w:sz w:val="18"/>
          <w:szCs w:val="18"/>
        </w:rPr>
        <w:t xml:space="preserve">$users = Import-Csv 'C:\Migration\NewUsers.csv'</w:t>
      </w:r>
    </w:p>
    <w:p>
      <w:pPr>
        <w:spacing w:before="40" w:after="40"/>
        <w:ind w:left="360"/>
      </w:pPr>
      <w:r>
        <w:rPr>
          <w:rFonts w:ascii="Courier New" w:cs="Courier New" w:eastAsia="Courier New" w:hAnsi="Courier New"/>
          <w:color w:val="C7254E"/>
          <w:sz w:val="18"/>
          <w:szCs w:val="18"/>
        </w:rPr>
        <w:t xml:space="preserve">foreach ($user in $users) {</w:t>
      </w:r>
    </w:p>
    <w:p>
      <w:pPr>
        <w:spacing w:before="40" w:after="40"/>
        <w:ind w:left="360"/>
      </w:pPr>
      <w:r>
        <w:rPr>
          <w:rFonts w:ascii="Courier New" w:cs="Courier New" w:eastAsia="Courier New" w:hAnsi="Courier New"/>
          <w:color w:val="C7254E"/>
          <w:sz w:val="18"/>
          <w:szCs w:val="18"/>
        </w:rPr>
        <w:t xml:space="preserve">    $params = @{</w:t>
      </w:r>
    </w:p>
    <w:p>
      <w:pPr>
        <w:spacing w:before="40" w:after="40"/>
        <w:ind w:left="360"/>
      </w:pPr>
      <w:r>
        <w:rPr>
          <w:rFonts w:ascii="Courier New" w:cs="Courier New" w:eastAsia="Courier New" w:hAnsi="Courier New"/>
          <w:color w:val="C7254E"/>
          <w:sz w:val="18"/>
          <w:szCs w:val="18"/>
        </w:rPr>
        <w:t xml:space="preserve">        DisplayName       = $user.DisplayName</w:t>
      </w:r>
    </w:p>
    <w:p>
      <w:pPr>
        <w:spacing w:before="40" w:after="40"/>
        <w:ind w:left="360"/>
      </w:pPr>
      <w:r>
        <w:rPr>
          <w:rFonts w:ascii="Courier New" w:cs="Courier New" w:eastAsia="Courier New" w:hAnsi="Courier New"/>
          <w:color w:val="C7254E"/>
          <w:sz w:val="18"/>
          <w:szCs w:val="18"/>
        </w:rPr>
        <w:t xml:space="preserve">        UserPrincipalName = $user.UserPrincipalName</w:t>
      </w:r>
    </w:p>
    <w:p>
      <w:pPr>
        <w:spacing w:before="40" w:after="40"/>
        <w:ind w:left="360"/>
      </w:pPr>
      <w:r>
        <w:rPr>
          <w:rFonts w:ascii="Courier New" w:cs="Courier New" w:eastAsia="Courier New" w:hAnsi="Courier New"/>
          <w:color w:val="C7254E"/>
          <w:sz w:val="18"/>
          <w:szCs w:val="18"/>
        </w:rPr>
        <w:t xml:space="preserve">        MailNickname      = $user.UserPrincipalName.Split('@')[0]</w:t>
      </w:r>
    </w:p>
    <w:p>
      <w:pPr>
        <w:spacing w:before="40" w:after="40"/>
        <w:ind w:left="360"/>
      </w:pPr>
      <w:r>
        <w:rPr>
          <w:rFonts w:ascii="Courier New" w:cs="Courier New" w:eastAsia="Courier New" w:hAnsi="Courier New"/>
          <w:color w:val="C7254E"/>
          <w:sz w:val="18"/>
          <w:szCs w:val="18"/>
        </w:rPr>
        <w:t xml:space="preserve">        Department        = $user.Department</w:t>
      </w:r>
    </w:p>
    <w:p>
      <w:pPr>
        <w:spacing w:before="40" w:after="40"/>
        <w:ind w:left="360"/>
      </w:pPr>
      <w:r>
        <w:rPr>
          <w:rFonts w:ascii="Courier New" w:cs="Courier New" w:eastAsia="Courier New" w:hAnsi="Courier New"/>
          <w:color w:val="C7254E"/>
          <w:sz w:val="18"/>
          <w:szCs w:val="18"/>
        </w:rPr>
        <w:t xml:space="preserve">        JobTitle          = $user.JobTitle</w:t>
      </w:r>
    </w:p>
    <w:p>
      <w:pPr>
        <w:spacing w:before="40" w:after="40"/>
        <w:ind w:left="360"/>
      </w:pPr>
      <w:r>
        <w:rPr>
          <w:rFonts w:ascii="Courier New" w:cs="Courier New" w:eastAsia="Courier New" w:hAnsi="Courier New"/>
          <w:color w:val="C7254E"/>
          <w:sz w:val="18"/>
          <w:szCs w:val="18"/>
        </w:rPr>
        <w:t xml:space="preserve">        AccountEnabled    = $true</w:t>
      </w:r>
    </w:p>
    <w:p>
      <w:pPr>
        <w:spacing w:before="40" w:after="40"/>
        <w:ind w:left="360"/>
      </w:pPr>
      <w:r>
        <w:rPr>
          <w:rFonts w:ascii="Courier New" w:cs="Courier New" w:eastAsia="Courier New" w:hAnsi="Courier New"/>
          <w:color w:val="C7254E"/>
          <w:sz w:val="18"/>
          <w:szCs w:val="18"/>
        </w:rPr>
        <w:t xml:space="preserve">        PasswordProfile   = @{</w:t>
      </w:r>
    </w:p>
    <w:p>
      <w:pPr>
        <w:spacing w:before="40" w:after="40"/>
        <w:ind w:left="360"/>
      </w:pPr>
      <w:r>
        <w:rPr>
          <w:rFonts w:ascii="Courier New" w:cs="Courier New" w:eastAsia="Courier New" w:hAnsi="Courier New"/>
          <w:color w:val="C7254E"/>
          <w:sz w:val="18"/>
          <w:szCs w:val="18"/>
        </w:rPr>
        <w:t xml:space="preserve">            ForceChangePasswordNextSignIn = $true</w:t>
      </w:r>
    </w:p>
    <w:p>
      <w:pPr>
        <w:spacing w:before="40" w:after="40"/>
        <w:ind w:left="360"/>
      </w:pPr>
      <w:r>
        <w:rPr>
          <w:rFonts w:ascii="Courier New" w:cs="Courier New" w:eastAsia="Courier New" w:hAnsi="Courier New"/>
          <w:color w:val="C7254E"/>
          <w:sz w:val="18"/>
          <w:szCs w:val="18"/>
        </w:rPr>
        <w:t xml:space="preserve">            Password = 'TempP@ss' + (Get-Random -Minimum 1000 -Maximum 9999)</w:t>
      </w:r>
    </w:p>
    <w:p>
      <w:pPr>
        <w:spacing w:before="40" w:after="40"/>
        <w:ind w:left="360"/>
      </w:pPr>
      <w:r>
        <w:rPr>
          <w:rFonts w:ascii="Courier New" w:cs="Courier New" w:eastAsia="Courier New" w:hAnsi="Courier New"/>
          <w:color w:val="C7254E"/>
          <w:sz w:val="18"/>
          <w:szCs w:val="18"/>
        </w:rPr>
        <w:t xml:space="preserve">        }</w:t>
      </w:r>
    </w:p>
    <w:p>
      <w:pPr>
        <w:spacing w:before="40" w:after="40"/>
        <w:ind w:left="360"/>
      </w:pPr>
      <w:r>
        <w:rPr>
          <w:rFonts w:ascii="Courier New" w:cs="Courier New" w:eastAsia="Courier New" w:hAnsi="Courier New"/>
          <w:color w:val="C7254E"/>
          <w:sz w:val="18"/>
          <w:szCs w:val="18"/>
        </w:rPr>
        <w:t xml:space="preserve">    }</w:t>
      </w:r>
    </w:p>
    <w:p>
      <w:pPr>
        <w:spacing w:before="40" w:after="40"/>
        <w:ind w:left="360"/>
      </w:pPr>
      <w:r>
        <w:rPr>
          <w:rFonts w:ascii="Courier New" w:cs="Courier New" w:eastAsia="Courier New" w:hAnsi="Courier New"/>
          <w:color w:val="C7254E"/>
          <w:sz w:val="18"/>
          <w:szCs w:val="18"/>
        </w:rPr>
        <w:t xml:space="preserve">    New-MgUser @params</w:t>
      </w:r>
    </w:p>
    <w:p>
      <w:pPr>
        <w:spacing w:before="40" w:after="40"/>
        <w:ind w:left="360"/>
      </w:pPr>
      <w:r>
        <w:rPr>
          <w:rFonts w:ascii="Courier New" w:cs="Courier New" w:eastAsia="Courier New" w:hAnsi="Courier New"/>
          <w:color w:val="C7254E"/>
          <w:sz w:val="18"/>
          <w:szCs w:val="18"/>
        </w:rPr>
        <w:t xml:space="preserve">    Write-Host "Created: $($user.DisplayName)" -ForegroundColor Green</w:t>
      </w:r>
    </w:p>
    <w:p>
      <w:pPr>
        <w:spacing w:before="40" w:after="40"/>
        <w:ind w:left="360"/>
      </w:pPr>
      <w:r>
        <w:rPr>
          <w:rFonts w:ascii="Courier New" w:cs="Courier New" w:eastAsia="Courier New" w:hAnsi="Courier New"/>
          <w:color w:val="C7254E"/>
          <w:sz w:val="18"/>
          <w:szCs w:val="18"/>
        </w:rPr>
        <w:t xml:space="preserve">}</w:t>
      </w:r>
    </w:p>
    <w:p>
      <w:pPr>
        <w:spacing w:before="40" w:after="40"/>
        <w:ind w:left="360"/>
      </w:pPr>
      <w:r>
        <w:rPr>
          <w:rFonts w:ascii="Courier New" w:cs="Courier New" w:eastAsia="Courier New" w:hAnsi="Courier New"/>
          <w:color w:val="C7254E"/>
          <w:sz w:val="18"/>
          <w:szCs w:val="18"/>
        </w:rPr>
        <w:t xml:space="preserve">Write-Host 'Bulk user creation complete.' -ForegroundColor Cyan</w:t>
      </w:r>
    </w:p>
    <w:p>
      <w:pPr>
        <w:spacing w:before="60" w:after="0"/>
      </w:pPr>
      <w:r>
        <w:t xml:space="preserve"/>
      </w:r>
    </w:p>
    <w:p>
      <w:pPr>
        <w:pStyle w:val="Heading2"/>
        <w:spacing w:before="240" w:after="100"/>
      </w:pPr>
      <w:r>
        <w:rPr>
          <w:rFonts w:ascii="Arial" w:cs="Arial" w:eastAsia="Arial" w:hAnsi="Arial"/>
          <w:b/>
          <w:bCs/>
          <w:color w:val="1A1A2E"/>
          <w:sz w:val="26"/>
          <w:szCs w:val="26"/>
        </w:rPr>
        <w:t xml:space="preserve">5.2 Bulk License Assignment via Group</w:t>
      </w:r>
    </w:p>
    <w:p>
      <w:pPr>
        <w:spacing w:before="60" w:after="60"/>
      </w:pPr>
      <w:r>
        <w:rPr>
          <w:rFonts w:ascii="Arial" w:cs="Arial" w:eastAsia="Arial" w:hAnsi="Arial"/>
          <w:color w:val="000000"/>
          <w:sz w:val="22"/>
          <w:szCs w:val="22"/>
        </w:rPr>
        <w:t xml:space="preserve">Best practice: assign licenses via Azure AD group-based licensing — never assign individually. Create a security group per license SKU and add users.</w:t>
      </w:r>
    </w:p>
    <w:p>
      <w:pPr>
        <w:spacing w:before="40" w:after="0"/>
      </w:pPr>
      <w:r>
        <w:t xml:space="preserve"/>
      </w:r>
    </w:p>
    <w:p>
      <w:pPr>
        <w:spacing w:before="40" w:after="40"/>
        <w:ind w:left="360"/>
      </w:pPr>
      <w:r>
        <w:rPr>
          <w:rFonts w:ascii="Courier New" w:cs="Courier New" w:eastAsia="Courier New" w:hAnsi="Courier New"/>
          <w:color w:val="C7254E"/>
          <w:sz w:val="18"/>
          <w:szCs w:val="18"/>
        </w:rPr>
        <w:t xml:space="preserve"># === GROUP-BASED LICENSE ASSIGNMENT ===</w:t>
      </w:r>
    </w:p>
    <w:p>
      <w:pPr>
        <w:spacing w:before="40" w:after="40"/>
        <w:ind w:left="360"/>
      </w:pPr>
      <w:r>
        <w:rPr>
          <w:rFonts w:ascii="Courier New" w:cs="Courier New" w:eastAsia="Courier New" w:hAnsi="Courier New"/>
          <w:color w:val="C7254E"/>
          <w:sz w:val="18"/>
          <w:szCs w:val="18"/>
        </w:rPr>
        <w:t xml:space="preserve">Connect-MgGraph -Scopes 'Group.ReadWrite.All','Directory.ReadWrite.All'</w:t>
      </w:r>
    </w:p>
    <w:p>
      <w:pPr>
        <w:spacing w:before="40" w:after="40"/>
        <w:ind w:left="360"/>
      </w:pPr>
      <w:r>
        <w:rPr>
          <w:rFonts w:ascii="Courier New" w:cs="Courier New" w:eastAsia="Courier New" w:hAnsi="Courier New"/>
          <w:color w:val="C7254E"/>
          <w:sz w:val="18"/>
          <w:szCs w:val="18"/>
        </w:rPr>
        <w:t xml:space="preserve">$groupId   = 'xxxxxxxx-xxxx-xxxx-xxxx-xxxxxxxxxxxx'  # M365-E3-Users group</w:t>
      </w:r>
    </w:p>
    <w:p>
      <w:pPr>
        <w:spacing w:before="40" w:after="40"/>
        <w:ind w:left="360"/>
      </w:pPr>
      <w:r>
        <w:rPr>
          <w:rFonts w:ascii="Courier New" w:cs="Courier New" w:eastAsia="Courier New" w:hAnsi="Courier New"/>
          <w:color w:val="C7254E"/>
          <w:sz w:val="18"/>
          <w:szCs w:val="18"/>
        </w:rPr>
        <w:t xml:space="preserve">$skuId     = 'xxxxxxxx-xxxx-xxxx-xxxx-xxxxxxxxxxxx'  # M365 E3 SKU ID</w:t>
      </w:r>
    </w:p>
    <w:p>
      <w:pPr>
        <w:spacing w:before="40" w:after="40"/>
        <w:ind w:left="360"/>
      </w:pPr>
      <w:r>
        <w:rPr>
          <w:rFonts w:ascii="Courier New" w:cs="Courier New" w:eastAsia="Courier New" w:hAnsi="Courier New"/>
          <w:color w:val="C7254E"/>
          <w:sz w:val="18"/>
          <w:szCs w:val="18"/>
        </w:rPr>
        <w:t xml:space="preserve"># Add all synced users to the license group</w:t>
      </w:r>
    </w:p>
    <w:p>
      <w:pPr>
        <w:spacing w:before="40" w:after="40"/>
        <w:ind w:left="360"/>
      </w:pPr>
      <w:r>
        <w:rPr>
          <w:rFonts w:ascii="Courier New" w:cs="Courier New" w:eastAsia="Courier New" w:hAnsi="Courier New"/>
          <w:color w:val="C7254E"/>
          <w:sz w:val="18"/>
          <w:szCs w:val="18"/>
        </w:rPr>
        <w:t xml:space="preserve">$users = Get-MgUser -Filter "userType eq 'Member'" -All</w:t>
      </w:r>
    </w:p>
    <w:p>
      <w:pPr>
        <w:spacing w:before="40" w:after="40"/>
        <w:ind w:left="360"/>
      </w:pPr>
      <w:r>
        <w:rPr>
          <w:rFonts w:ascii="Courier New" w:cs="Courier New" w:eastAsia="Courier New" w:hAnsi="Courier New"/>
          <w:color w:val="C7254E"/>
          <w:sz w:val="18"/>
          <w:szCs w:val="18"/>
        </w:rPr>
        <w:t xml:space="preserve">foreach ($user in $users) {</w:t>
      </w:r>
    </w:p>
    <w:p>
      <w:pPr>
        <w:spacing w:before="40" w:after="40"/>
        <w:ind w:left="360"/>
      </w:pPr>
      <w:r>
        <w:rPr>
          <w:rFonts w:ascii="Courier New" w:cs="Courier New" w:eastAsia="Courier New" w:hAnsi="Courier New"/>
          <w:color w:val="C7254E"/>
          <w:sz w:val="18"/>
          <w:szCs w:val="18"/>
        </w:rPr>
        <w:t xml:space="preserve">    New-MgGroupMember -GroupId $groupId -DirectoryObjectId $user.Id</w:t>
      </w:r>
    </w:p>
    <w:p>
      <w:pPr>
        <w:spacing w:before="40" w:after="40"/>
        <w:ind w:left="360"/>
      </w:pPr>
      <w:r>
        <w:rPr>
          <w:rFonts w:ascii="Courier New" w:cs="Courier New" w:eastAsia="Courier New" w:hAnsi="Courier New"/>
          <w:color w:val="C7254E"/>
          <w:sz w:val="18"/>
          <w:szCs w:val="18"/>
        </w:rPr>
        <w:t xml:space="preserve">    Write-Host "Licensed: $($user.DisplayName)"</w:t>
      </w:r>
    </w:p>
    <w:p>
      <w:pPr>
        <w:spacing w:before="40" w:after="40"/>
        <w:ind w:left="360"/>
      </w:pPr>
      <w:r>
        <w:rPr>
          <w:rFonts w:ascii="Courier New" w:cs="Courier New" w:eastAsia="Courier New" w:hAnsi="Courier New"/>
          <w:color w:val="C7254E"/>
          <w:sz w:val="18"/>
          <w:szCs w:val="18"/>
        </w:rPr>
        <w:t xml:space="preserve">}</w:t>
      </w:r>
    </w:p>
    <w:p>
      <w:pPr>
        <w:spacing w:before="40" w:after="40"/>
        <w:ind w:left="360"/>
      </w:pPr>
      <w:r>
        <w:rPr>
          <w:rFonts w:ascii="Courier New" w:cs="Courier New" w:eastAsia="Courier New" w:hAnsi="Courier New"/>
          <w:color w:val="C7254E"/>
          <w:sz w:val="18"/>
          <w:szCs w:val="18"/>
        </w:rPr>
        <w:t xml:space="preserve"># Verify license assignment</w:t>
      </w:r>
    </w:p>
    <w:p>
      <w:pPr>
        <w:spacing w:before="40" w:after="40"/>
        <w:ind w:left="360"/>
      </w:pPr>
      <w:r>
        <w:rPr>
          <w:rFonts w:ascii="Courier New" w:cs="Courier New" w:eastAsia="Courier New" w:hAnsi="Courier New"/>
          <w:color w:val="C7254E"/>
          <w:sz w:val="18"/>
          <w:szCs w:val="18"/>
        </w:rPr>
        <w:t xml:space="preserve">Get-MgGroup -GroupId $groupId | Select-Object DisplayName</w:t>
      </w:r>
    </w:p>
    <w:p>
      <w:pPr>
        <w:spacing w:before="40" w:after="40"/>
        <w:ind w:left="360"/>
      </w:pPr>
      <w:r>
        <w:rPr>
          <w:rFonts w:ascii="Courier New" w:cs="Courier New" w:eastAsia="Courier New" w:hAnsi="Courier New"/>
          <w:color w:val="C7254E"/>
          <w:sz w:val="18"/>
          <w:szCs w:val="18"/>
        </w:rPr>
        <w:t xml:space="preserve">Get-MgGroupMember -GroupId $groupId | Measure-Object | Select-Object Count</w:t>
      </w:r>
    </w:p>
    <w:p>
      <w:pPr>
        <w:spacing w:before="60" w:after="0"/>
      </w:pPr>
      <w:r>
        <w:t xml:space="preserve"/>
      </w:r>
    </w:p>
    <w:p>
      <w:pPr>
        <w:pStyle w:val="Heading2"/>
        <w:spacing w:before="240" w:after="100"/>
      </w:pPr>
      <w:r>
        <w:rPr>
          <w:rFonts w:ascii="Arial" w:cs="Arial" w:eastAsia="Arial" w:hAnsi="Arial"/>
          <w:b/>
          <w:bCs/>
          <w:color w:val="1A1A2E"/>
          <w:sz w:val="26"/>
          <w:szCs w:val="26"/>
        </w:rPr>
        <w:t xml:space="preserve">5.3 Create &amp; Monitor Migration Batches</w:t>
      </w:r>
    </w:p>
    <w:p>
      <w:pPr>
        <w:spacing w:before="60" w:after="60"/>
      </w:pPr>
      <w:r>
        <w:rPr>
          <w:rFonts w:ascii="Arial" w:cs="Arial" w:eastAsia="Arial" w:hAnsi="Arial"/>
          <w:color w:val="000000"/>
          <w:sz w:val="22"/>
          <w:szCs w:val="22"/>
        </w:rPr>
        <w:t xml:space="preserve">Use this script to create migration batches programmatically and monitor their progress, sending email alerts when a batch completes.</w:t>
      </w:r>
    </w:p>
    <w:p>
      <w:pPr>
        <w:spacing w:before="40" w:after="0"/>
      </w:pPr>
      <w:r>
        <w:t xml:space="preserve"/>
      </w:r>
    </w:p>
    <w:p>
      <w:pPr>
        <w:spacing w:before="40" w:after="40"/>
        <w:ind w:left="360"/>
      </w:pPr>
      <w:r>
        <w:rPr>
          <w:rFonts w:ascii="Courier New" w:cs="Courier New" w:eastAsia="Courier New" w:hAnsi="Courier New"/>
          <w:color w:val="C7254E"/>
          <w:sz w:val="18"/>
          <w:szCs w:val="18"/>
        </w:rPr>
        <w:t xml:space="preserve"># === MIGRATION BATCH MANAGEMENT ===</w:t>
      </w:r>
    </w:p>
    <w:p>
      <w:pPr>
        <w:spacing w:before="40" w:after="40"/>
        <w:ind w:left="360"/>
      </w:pPr>
      <w:r>
        <w:rPr>
          <w:rFonts w:ascii="Courier New" w:cs="Courier New" w:eastAsia="Courier New" w:hAnsi="Courier New"/>
          <w:color w:val="C7254E"/>
          <w:sz w:val="18"/>
          <w:szCs w:val="18"/>
        </w:rPr>
        <w:t xml:space="preserve">Connect-ExchangeOnline -UserPrincipalName admin@meridiangs.com</w:t>
      </w:r>
    </w:p>
    <w:p>
      <w:pPr>
        <w:spacing w:before="40" w:after="40"/>
        <w:ind w:left="360"/>
      </w:pPr>
      <w:r>
        <w:rPr>
          <w:rFonts w:ascii="Courier New" w:cs="Courier New" w:eastAsia="Courier New" w:hAnsi="Courier New"/>
          <w:color w:val="C7254E"/>
          <w:sz w:val="18"/>
          <w:szCs w:val="18"/>
        </w:rPr>
        <w:t xml:space="preserve">$batchName  = 'Batch03-HR-Department'</w:t>
      </w:r>
    </w:p>
    <w:p>
      <w:pPr>
        <w:spacing w:before="40" w:after="40"/>
        <w:ind w:left="360"/>
      </w:pPr>
      <w:r>
        <w:rPr>
          <w:rFonts w:ascii="Courier New" w:cs="Courier New" w:eastAsia="Courier New" w:hAnsi="Courier New"/>
          <w:color w:val="C7254E"/>
          <w:sz w:val="18"/>
          <w:szCs w:val="18"/>
        </w:rPr>
        <w:t xml:space="preserve">$csvPath    = 'C:\Migration\Batch03.csv'</w:t>
      </w:r>
    </w:p>
    <w:p>
      <w:pPr>
        <w:spacing w:before="40" w:after="40"/>
        <w:ind w:left="360"/>
      </w:pPr>
      <w:r>
        <w:rPr>
          <w:rFonts w:ascii="Courier New" w:cs="Courier New" w:eastAsia="Courier New" w:hAnsi="Courier New"/>
          <w:color w:val="C7254E"/>
          <w:sz w:val="18"/>
          <w:szCs w:val="18"/>
        </w:rPr>
        <w:t xml:space="preserve">$CSVData    = [System.IO.File]::ReadAllBytes($csvPath)</w:t>
      </w:r>
    </w:p>
    <w:p>
      <w:pPr>
        <w:spacing w:before="40" w:after="40"/>
        <w:ind w:left="360"/>
      </w:pPr>
      <w:r>
        <w:rPr>
          <w:rFonts w:ascii="Courier New" w:cs="Courier New" w:eastAsia="Courier New" w:hAnsi="Courier New"/>
          <w:color w:val="C7254E"/>
          <w:sz w:val="18"/>
          <w:szCs w:val="18"/>
        </w:rPr>
        <w:t xml:space="preserve"># Create migration batch</w:t>
      </w:r>
    </w:p>
    <w:p>
      <w:pPr>
        <w:spacing w:before="40" w:after="40"/>
        <w:ind w:left="360"/>
      </w:pPr>
      <w:r>
        <w:rPr>
          <w:rFonts w:ascii="Courier New" w:cs="Courier New" w:eastAsia="Courier New" w:hAnsi="Courier New"/>
          <w:color w:val="C7254E"/>
          <w:sz w:val="18"/>
          <w:szCs w:val="18"/>
        </w:rPr>
        <w:t xml:space="preserve">New-MigrationBatch -Name $batchName \</w:t>
      </w:r>
    </w:p>
    <w:p>
      <w:pPr>
        <w:spacing w:before="40" w:after="40"/>
        <w:ind w:left="360"/>
      </w:pPr>
      <w:r>
        <w:rPr>
          <w:rFonts w:ascii="Courier New" w:cs="Courier New" w:eastAsia="Courier New" w:hAnsi="Courier New"/>
          <w:color w:val="C7254E"/>
          <w:sz w:val="18"/>
          <w:szCs w:val="18"/>
        </w:rPr>
        <w:t xml:space="preserve">    -SourceEndpoint 'MGS-OnPrem' \</w:t>
      </w:r>
    </w:p>
    <w:p>
      <w:pPr>
        <w:spacing w:before="40" w:after="40"/>
        <w:ind w:left="360"/>
      </w:pPr>
      <w:r>
        <w:rPr>
          <w:rFonts w:ascii="Courier New" w:cs="Courier New" w:eastAsia="Courier New" w:hAnsi="Courier New"/>
          <w:color w:val="C7254E"/>
          <w:sz w:val="18"/>
          <w:szCs w:val="18"/>
        </w:rPr>
        <w:t xml:space="preserve">    -CSVData $CSVData \</w:t>
      </w:r>
    </w:p>
    <w:p>
      <w:pPr>
        <w:spacing w:before="40" w:after="40"/>
        <w:ind w:left="360"/>
      </w:pPr>
      <w:r>
        <w:rPr>
          <w:rFonts w:ascii="Courier New" w:cs="Courier New" w:eastAsia="Courier New" w:hAnsi="Courier New"/>
          <w:color w:val="C7254E"/>
          <w:sz w:val="18"/>
          <w:szCs w:val="18"/>
        </w:rPr>
        <w:t xml:space="preserve">    -TargetDeliveryDomain 'meridiangs.mail.onmicrosoft.com' \</w:t>
      </w:r>
    </w:p>
    <w:p>
      <w:pPr>
        <w:spacing w:before="40" w:after="40"/>
        <w:ind w:left="360"/>
      </w:pPr>
      <w:r>
        <w:rPr>
          <w:rFonts w:ascii="Courier New" w:cs="Courier New" w:eastAsia="Courier New" w:hAnsi="Courier New"/>
          <w:color w:val="C7254E"/>
          <w:sz w:val="18"/>
          <w:szCs w:val="18"/>
        </w:rPr>
        <w:t xml:space="preserve">    -AutoStart \</w:t>
      </w:r>
    </w:p>
    <w:p>
      <w:pPr>
        <w:spacing w:before="40" w:after="40"/>
        <w:ind w:left="360"/>
      </w:pPr>
      <w:r>
        <w:rPr>
          <w:rFonts w:ascii="Courier New" w:cs="Courier New" w:eastAsia="Courier New" w:hAnsi="Courier New"/>
          <w:color w:val="C7254E"/>
          <w:sz w:val="18"/>
          <w:szCs w:val="18"/>
        </w:rPr>
        <w:t xml:space="preserve">    -BadItemLimit 50 \</w:t>
      </w:r>
    </w:p>
    <w:p>
      <w:pPr>
        <w:spacing w:before="40" w:after="40"/>
        <w:ind w:left="360"/>
      </w:pPr>
      <w:r>
        <w:rPr>
          <w:rFonts w:ascii="Courier New" w:cs="Courier New" w:eastAsia="Courier New" w:hAnsi="Courier New"/>
          <w:color w:val="C7254E"/>
          <w:sz w:val="18"/>
          <w:szCs w:val="18"/>
        </w:rPr>
        <w:t xml:space="preserve">    -LargeItemLimit 10</w:t>
      </w:r>
    </w:p>
    <w:p>
      <w:pPr>
        <w:spacing w:before="40" w:after="40"/>
        <w:ind w:left="360"/>
      </w:pPr>
      <w:r>
        <w:rPr>
          <w:rFonts w:ascii="Courier New" w:cs="Courier New" w:eastAsia="Courier New" w:hAnsi="Courier New"/>
          <w:color w:val="C7254E"/>
          <w:sz w:val="18"/>
          <w:szCs w:val="18"/>
        </w:rPr>
        <w:t xml:space="preserve"># Monitor until 95% complete</w:t>
      </w:r>
    </w:p>
    <w:p>
      <w:pPr>
        <w:spacing w:before="40" w:after="40"/>
        <w:ind w:left="360"/>
      </w:pPr>
      <w:r>
        <w:rPr>
          <w:rFonts w:ascii="Courier New" w:cs="Courier New" w:eastAsia="Courier New" w:hAnsi="Courier New"/>
          <w:color w:val="C7254E"/>
          <w:sz w:val="18"/>
          <w:szCs w:val="18"/>
        </w:rPr>
        <w:t xml:space="preserve">do {</w:t>
      </w:r>
    </w:p>
    <w:p>
      <w:pPr>
        <w:spacing w:before="40" w:after="40"/>
        <w:ind w:left="360"/>
      </w:pPr>
      <w:r>
        <w:rPr>
          <w:rFonts w:ascii="Courier New" w:cs="Courier New" w:eastAsia="Courier New" w:hAnsi="Courier New"/>
          <w:color w:val="C7254E"/>
          <w:sz w:val="18"/>
          <w:szCs w:val="18"/>
        </w:rPr>
        <w:t xml:space="preserve">    $stats = Get-MigrationBatch -Identity $batchName</w:t>
      </w:r>
    </w:p>
    <w:p>
      <w:pPr>
        <w:spacing w:before="40" w:after="40"/>
        <w:ind w:left="360"/>
      </w:pPr>
      <w:r>
        <w:rPr>
          <w:rFonts w:ascii="Courier New" w:cs="Courier New" w:eastAsia="Courier New" w:hAnsi="Courier New"/>
          <w:color w:val="C7254E"/>
          <w:sz w:val="18"/>
          <w:szCs w:val="18"/>
        </w:rPr>
        <w:t xml:space="preserve">    $pct   = ($stats.PercentageComplete)</w:t>
      </w:r>
    </w:p>
    <w:p>
      <w:pPr>
        <w:spacing w:before="40" w:after="40"/>
        <w:ind w:left="360"/>
      </w:pPr>
      <w:r>
        <w:rPr>
          <w:rFonts w:ascii="Courier New" w:cs="Courier New" w:eastAsia="Courier New" w:hAnsi="Courier New"/>
          <w:color w:val="C7254E"/>
          <w:sz w:val="18"/>
          <w:szCs w:val="18"/>
        </w:rPr>
        <w:t xml:space="preserve">    Write-Host "Progress: $pct%" -ForegroundColor Yellow</w:t>
      </w:r>
    </w:p>
    <w:p>
      <w:pPr>
        <w:spacing w:before="40" w:after="40"/>
        <w:ind w:left="360"/>
      </w:pPr>
      <w:r>
        <w:rPr>
          <w:rFonts w:ascii="Courier New" w:cs="Courier New" w:eastAsia="Courier New" w:hAnsi="Courier New"/>
          <w:color w:val="C7254E"/>
          <w:sz w:val="18"/>
          <w:szCs w:val="18"/>
        </w:rPr>
        <w:t xml:space="preserve">    Start-Sleep -Seconds 60</w:t>
      </w:r>
    </w:p>
    <w:p>
      <w:pPr>
        <w:spacing w:before="40" w:after="40"/>
        <w:ind w:left="360"/>
      </w:pPr>
      <w:r>
        <w:rPr>
          <w:rFonts w:ascii="Courier New" w:cs="Courier New" w:eastAsia="Courier New" w:hAnsi="Courier New"/>
          <w:color w:val="C7254E"/>
          <w:sz w:val="18"/>
          <w:szCs w:val="18"/>
        </w:rPr>
        <w:t xml:space="preserve">} while ($pct -lt 95)</w:t>
      </w:r>
    </w:p>
    <w:p>
      <w:pPr>
        <w:spacing w:before="40" w:after="40"/>
        <w:ind w:left="360"/>
      </w:pPr>
      <w:r>
        <w:rPr>
          <w:rFonts w:ascii="Courier New" w:cs="Courier New" w:eastAsia="Courier New" w:hAnsi="Courier New"/>
          <w:color w:val="C7254E"/>
          <w:sz w:val="18"/>
          <w:szCs w:val="18"/>
        </w:rPr>
        <w:t xml:space="preserve">Write-Host "Batch $batchName ready for completion." -ForegroundColor Green</w:t>
      </w:r>
    </w:p>
    <w:p>
      <w:pPr>
        <w:spacing w:before="40" w:after="40"/>
        <w:ind w:left="360"/>
      </w:pPr>
      <w:r>
        <w:rPr>
          <w:rFonts w:ascii="Courier New" w:cs="Courier New" w:eastAsia="Courier New" w:hAnsi="Courier New"/>
          <w:color w:val="C7254E"/>
          <w:sz w:val="18"/>
          <w:szCs w:val="18"/>
        </w:rPr>
        <w:t xml:space="preserve"># Complete batch during migration window</w:t>
      </w:r>
    </w:p>
    <w:p>
      <w:pPr>
        <w:spacing w:before="40" w:after="40"/>
        <w:ind w:left="360"/>
      </w:pPr>
      <w:r>
        <w:rPr>
          <w:rFonts w:ascii="Courier New" w:cs="Courier New" w:eastAsia="Courier New" w:hAnsi="Courier New"/>
          <w:color w:val="C7254E"/>
          <w:sz w:val="18"/>
          <w:szCs w:val="18"/>
        </w:rPr>
        <w:t xml:space="preserve">Complete-MigrationBatch -Identity $batchName</w:t>
      </w:r>
    </w:p>
    <w:p>
      <w:pPr>
        <w:spacing w:before="60" w:after="0"/>
      </w:pPr>
      <w:r>
        <w:t xml:space="preserve"/>
      </w:r>
    </w:p>
    <w:p>
      <w:pPr>
        <w:pStyle w:val="Heading2"/>
        <w:spacing w:before="240" w:after="100"/>
      </w:pPr>
      <w:r>
        <w:rPr>
          <w:rFonts w:ascii="Arial" w:cs="Arial" w:eastAsia="Arial" w:hAnsi="Arial"/>
          <w:b/>
          <w:bCs/>
          <w:color w:val="1A1A2E"/>
          <w:sz w:val="26"/>
          <w:szCs w:val="26"/>
        </w:rPr>
        <w:t xml:space="preserve">5.4 MFA Status Report</w:t>
      </w:r>
    </w:p>
    <w:p>
      <w:pPr>
        <w:spacing w:before="60" w:after="60"/>
      </w:pPr>
      <w:r>
        <w:rPr>
          <w:rFonts w:ascii="Arial" w:cs="Arial" w:eastAsia="Arial" w:hAnsi="Arial"/>
          <w:color w:val="000000"/>
          <w:sz w:val="22"/>
          <w:szCs w:val="22"/>
        </w:rPr>
        <w:t xml:space="preserve">Run this weekly throughout the migration to ensure all migrated users have MFA enforced before their mailbox is moved.</w:t>
      </w:r>
    </w:p>
    <w:p>
      <w:pPr>
        <w:spacing w:before="40" w:after="0"/>
      </w:pPr>
      <w:r>
        <w:t xml:space="preserve"/>
      </w:r>
    </w:p>
    <w:p>
      <w:pPr>
        <w:spacing w:before="40" w:after="40"/>
        <w:ind w:left="360"/>
      </w:pPr>
      <w:r>
        <w:rPr>
          <w:rFonts w:ascii="Courier New" w:cs="Courier New" w:eastAsia="Courier New" w:hAnsi="Courier New"/>
          <w:color w:val="C7254E"/>
          <w:sz w:val="18"/>
          <w:szCs w:val="18"/>
        </w:rPr>
        <w:t xml:space="preserve"># === MFA ENFORCEMENT AUDIT REPORT ===</w:t>
      </w:r>
    </w:p>
    <w:p>
      <w:pPr>
        <w:spacing w:before="40" w:after="40"/>
        <w:ind w:left="360"/>
      </w:pPr>
      <w:r>
        <w:rPr>
          <w:rFonts w:ascii="Courier New" w:cs="Courier New" w:eastAsia="Courier New" w:hAnsi="Courier New"/>
          <w:color w:val="C7254E"/>
          <w:sz w:val="18"/>
          <w:szCs w:val="18"/>
        </w:rPr>
        <w:t xml:space="preserve">Connect-MgGraph -Scopes 'Reports.Read.All','UserAuthenticationMethod.Read.All'</w:t>
      </w:r>
    </w:p>
    <w:p>
      <w:pPr>
        <w:spacing w:before="40" w:after="40"/>
        <w:ind w:left="360"/>
      </w:pPr>
      <w:r>
        <w:rPr>
          <w:rFonts w:ascii="Courier New" w:cs="Courier New" w:eastAsia="Courier New" w:hAnsi="Courier New"/>
          <w:color w:val="C7254E"/>
          <w:sz w:val="18"/>
          <w:szCs w:val="18"/>
        </w:rPr>
        <w:t xml:space="preserve">$report = Get-MgReportAuthenticationMethodUserRegistrationDetail</w:t>
      </w:r>
    </w:p>
    <w:p>
      <w:pPr>
        <w:spacing w:before="40" w:after="40"/>
        <w:ind w:left="360"/>
      </w:pPr>
      <w:r>
        <w:rPr>
          <w:rFonts w:ascii="Courier New" w:cs="Courier New" w:eastAsia="Courier New" w:hAnsi="Courier New"/>
          <w:color w:val="C7254E"/>
          <w:sz w:val="18"/>
          <w:szCs w:val="18"/>
        </w:rPr>
        <w:t xml:space="preserve">$noMFA  = $report | Where-Object { $_.IsMfaRegistered -eq $false }</w:t>
      </w:r>
    </w:p>
    <w:p>
      <w:pPr>
        <w:spacing w:before="40" w:after="40"/>
        <w:ind w:left="360"/>
      </w:pPr>
      <w:r>
        <w:rPr>
          <w:rFonts w:ascii="Courier New" w:cs="Courier New" w:eastAsia="Courier New" w:hAnsi="Courier New"/>
          <w:color w:val="C7254E"/>
          <w:sz w:val="18"/>
          <w:szCs w:val="18"/>
        </w:rPr>
        <w:t xml:space="preserve">$noMFA  | Select-Object UserDisplayName, UserPrincipalName, IsMfaRegistered \</w:t>
      </w:r>
    </w:p>
    <w:p>
      <w:pPr>
        <w:spacing w:before="40" w:after="40"/>
        <w:ind w:left="360"/>
      </w:pPr>
      <w:r>
        <w:rPr>
          <w:rFonts w:ascii="Courier New" w:cs="Courier New" w:eastAsia="Courier New" w:hAnsi="Courier New"/>
          <w:color w:val="C7254E"/>
          <w:sz w:val="18"/>
          <w:szCs w:val="18"/>
        </w:rPr>
        <w:t xml:space="preserve">        | Export-Csv 'C:\Migration\NoMFA_Users.csv' -NoTypeInformation</w:t>
      </w:r>
    </w:p>
    <w:p>
      <w:pPr>
        <w:spacing w:before="40" w:after="40"/>
        <w:ind w:left="360"/>
      </w:pPr>
      <w:r>
        <w:rPr>
          <w:rFonts w:ascii="Courier New" w:cs="Courier New" w:eastAsia="Courier New" w:hAnsi="Courier New"/>
          <w:color w:val="C7254E"/>
          <w:sz w:val="18"/>
          <w:szCs w:val="18"/>
        </w:rPr>
        <w:t xml:space="preserve">Write-Host "Users without MFA: $($noMFA.Count)" -ForegroundColor Red</w:t>
      </w:r>
    </w:p>
    <w:p>
      <w:pPr>
        <w:spacing w:before="40" w:after="40"/>
        <w:ind w:left="360"/>
      </w:pPr>
      <w:r>
        <w:rPr>
          <w:rFonts w:ascii="Courier New" w:cs="Courier New" w:eastAsia="Courier New" w:hAnsi="Courier New"/>
          <w:color w:val="C7254E"/>
          <w:sz w:val="18"/>
          <w:szCs w:val="18"/>
        </w:rPr>
        <w:t xml:space="preserve"># Send alert email if any users found without MFA</w:t>
      </w:r>
    </w:p>
    <w:p>
      <w:pPr>
        <w:spacing w:before="40" w:after="40"/>
        <w:ind w:left="360"/>
      </w:pPr>
      <w:r>
        <w:rPr>
          <w:rFonts w:ascii="Courier New" w:cs="Courier New" w:eastAsia="Courier New" w:hAnsi="Courier New"/>
          <w:color w:val="C7254E"/>
          <w:sz w:val="18"/>
          <w:szCs w:val="18"/>
        </w:rPr>
        <w:t xml:space="preserve">if ($noMFA.Count -gt 0) {</w:t>
      </w:r>
    </w:p>
    <w:p>
      <w:pPr>
        <w:spacing w:before="40" w:after="40"/>
        <w:ind w:left="360"/>
      </w:pPr>
      <w:r>
        <w:rPr>
          <w:rFonts w:ascii="Courier New" w:cs="Courier New" w:eastAsia="Courier New" w:hAnsi="Courier New"/>
          <w:color w:val="C7254E"/>
          <w:sz w:val="18"/>
          <w:szCs w:val="18"/>
        </w:rPr>
        <w:t xml:space="preserve">    Send-MailMessage -To 'itteam@meridiangs.com' \</w:t>
      </w:r>
    </w:p>
    <w:p>
      <w:pPr>
        <w:spacing w:before="40" w:after="40"/>
        <w:ind w:left="360"/>
      </w:pPr>
      <w:r>
        <w:rPr>
          <w:rFonts w:ascii="Courier New" w:cs="Courier New" w:eastAsia="Courier New" w:hAnsi="Courier New"/>
          <w:color w:val="C7254E"/>
          <w:sz w:val="18"/>
          <w:szCs w:val="18"/>
        </w:rPr>
        <w:t xml:space="preserve">        -Subject "ACTION REQUIRED: $($noMFA.Count) users without MFA" \</w:t>
      </w:r>
    </w:p>
    <w:p>
      <w:pPr>
        <w:spacing w:before="40" w:after="40"/>
        <w:ind w:left="360"/>
      </w:pPr>
      <w:r>
        <w:rPr>
          <w:rFonts w:ascii="Courier New" w:cs="Courier New" w:eastAsia="Courier New" w:hAnsi="Courier New"/>
          <w:color w:val="C7254E"/>
          <w:sz w:val="18"/>
          <w:szCs w:val="18"/>
        </w:rPr>
        <w:t xml:space="preserve">        -Body 'See attached report.' -Attachments 'C:\Migration\NoMFA_Users.csv' \</w:t>
      </w:r>
    </w:p>
    <w:p>
      <w:pPr>
        <w:spacing w:before="40" w:after="40"/>
        <w:ind w:left="360"/>
      </w:pPr>
      <w:r>
        <w:rPr>
          <w:rFonts w:ascii="Courier New" w:cs="Courier New" w:eastAsia="Courier New" w:hAnsi="Courier New"/>
          <w:color w:val="C7254E"/>
          <w:sz w:val="18"/>
          <w:szCs w:val="18"/>
        </w:rPr>
        <w:t xml:space="preserve">        -SmtpServer 'smtp.meridiangs.com'</w:t>
      </w:r>
    </w:p>
    <w:p>
      <w:pPr>
        <w:spacing w:before="40" w:after="40"/>
        <w:ind w:left="360"/>
      </w:pPr>
      <w:r>
        <w:rPr>
          <w:rFonts w:ascii="Courier New" w:cs="Courier New" w:eastAsia="Courier New" w:hAnsi="Courier New"/>
          <w:color w:val="C7254E"/>
          <w:sz w:val="18"/>
          <w:szCs w:val="18"/>
        </w:rPr>
        <w:t xml:space="preserve">}</w:t>
      </w:r>
    </w:p>
    <w:p>
      <w:r>
        <w:br w:type="page"/>
      </w:r>
    </w:p>
    <w:p>
      <w:pPr>
        <w:pStyle w:val="Heading1"/>
        <w:pBdr>
          <w:bottom w:val="single" w:color="0078D4" w:sz="6" w:space="4"/>
        </w:pBdr>
        <w:spacing w:before="320" w:after="160"/>
      </w:pPr>
      <w:r>
        <w:rPr>
          <w:rFonts w:ascii="Arial" w:cs="Arial" w:eastAsia="Arial" w:hAnsi="Arial"/>
          <w:b/>
          <w:bCs/>
          <w:color w:val="0078D4"/>
          <w:sz w:val="32"/>
          <w:szCs w:val="32"/>
        </w:rPr>
        <w:t xml:space="preserve">6. Risk Management</w:t>
      </w:r>
    </w:p>
    <w:p>
      <w:pPr>
        <w:spacing w:before="60" w:after="0"/>
      </w:pPr>
      <w:r>
        <w:t xml:space="preserve"/>
      </w:r>
    </w:p>
    <w:p>
      <w:pPr>
        <w:pStyle w:val="Heading2"/>
        <w:spacing w:before="240" w:after="100"/>
      </w:pPr>
      <w:r>
        <w:rPr>
          <w:rFonts w:ascii="Arial" w:cs="Arial" w:eastAsia="Arial" w:hAnsi="Arial"/>
          <w:b/>
          <w:bCs/>
          <w:color w:val="1A1A2E"/>
          <w:sz w:val="26"/>
          <w:szCs w:val="26"/>
        </w:rPr>
        <w:t xml:space="preserve">6.1 Risk Register</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1500"/>
        <w:gridCol w:w="4460"/>
      </w:tblGrid>
      <w:tr>
        <w:tc>
          <w:tcPr>
            <w:tcW w:type="dxa" w:w="24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pPr>
              <w:spacing w:before="40" w:after="40"/>
            </w:pPr>
            <w:r>
              <w:rPr>
                <w:rFonts w:ascii="Arial" w:cs="Arial" w:eastAsia="Arial" w:hAnsi="Arial"/>
                <w:b/>
                <w:bCs/>
                <w:color w:val="FFFFFF"/>
                <w:sz w:val="19"/>
                <w:szCs w:val="19"/>
              </w:rPr>
              <w:t xml:space="preserve">Risk</w:t>
            </w:r>
          </w:p>
        </w:tc>
        <w:tc>
          <w:tcPr>
            <w:tcW w:type="dxa" w:w="10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pPr>
              <w:spacing w:before="40" w:after="40"/>
            </w:pPr>
            <w:r>
              <w:rPr>
                <w:rFonts w:ascii="Arial" w:cs="Arial" w:eastAsia="Arial" w:hAnsi="Arial"/>
                <w:b/>
                <w:bCs/>
                <w:color w:val="FFFFFF"/>
                <w:sz w:val="19"/>
                <w:szCs w:val="19"/>
              </w:rPr>
              <w:t xml:space="preserve">Level</w:t>
            </w:r>
          </w:p>
        </w:tc>
        <w:tc>
          <w:tcPr>
            <w:tcW w:type="dxa" w:w="150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pPr>
              <w:spacing w:before="40" w:after="40"/>
            </w:pPr>
            <w:r>
              <w:rPr>
                <w:rFonts w:ascii="Arial" w:cs="Arial" w:eastAsia="Arial" w:hAnsi="Arial"/>
                <w:b/>
                <w:bCs/>
                <w:color w:val="FFFFFF"/>
                <w:sz w:val="19"/>
                <w:szCs w:val="19"/>
              </w:rPr>
              <w:t xml:space="preserve">Impact</w:t>
            </w:r>
          </w:p>
        </w:tc>
        <w:tc>
          <w:tcPr>
            <w:tcW w:type="dxa" w:w="4460"/>
            <w:tcBorders>
              <w:top w:val="single" w:color="CCCCCC" w:sz="1"/>
              <w:left w:val="single" w:color="CCCCCC" w:sz="1"/>
              <w:bottom w:val="single" w:color="CCCCCC" w:sz="1"/>
              <w:right w:val="single" w:color="CCCCCC" w:sz="1"/>
            </w:tcBorders>
            <w:shd w:fill="0078D4" w:val="clear"/>
            <w:tcMar>
              <w:top w:type="dxa" w:w="80"/>
              <w:left w:type="dxa" w:w="120"/>
              <w:bottom w:type="dxa" w:w="80"/>
              <w:right w:type="dxa" w:w="120"/>
            </w:tcMar>
          </w:tcPr>
          <w:p>
            <w:pPr>
              <w:spacing w:before="40" w:after="40"/>
            </w:pPr>
            <w:r>
              <w:rPr>
                <w:rFonts w:ascii="Arial" w:cs="Arial" w:eastAsia="Arial" w:hAnsi="Arial"/>
                <w:b/>
                <w:bCs/>
                <w:color w:val="FFFFFF"/>
                <w:sz w:val="19"/>
                <w:szCs w:val="19"/>
              </w:rPr>
              <w:t xml:space="preserve">Mitigation Strategy</w:t>
            </w:r>
          </w:p>
        </w:tc>
      </w:tr>
      <w:tr>
        <w:tc>
          <w:tcPr>
            <w:tcW w:type="dxa" w:w="24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Exchange Hybrid configuration failure prevents mail coexistence</w:t>
            </w:r>
          </w:p>
        </w:tc>
        <w:tc>
          <w:tcPr>
            <w:tcW w:type="dxa" w:w="10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spacing w:before="40" w:after="40"/>
            </w:pPr>
            <w:r>
              <w:rPr>
                <w:rFonts w:ascii="Arial" w:cs="Arial" w:eastAsia="Arial" w:hAnsi="Arial"/>
                <w:b/>
                <w:bCs/>
                <w:color w:val="000000"/>
                <w:sz w:val="19"/>
                <w:szCs w:val="19"/>
              </w:rPr>
              <w:t xml:space="preserve">High</w:t>
            </w:r>
          </w:p>
        </w:tc>
        <w:tc>
          <w:tcPr>
            <w:tcW w:type="dxa" w:w="15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Mail flow disruption for all users</w:t>
            </w:r>
          </w:p>
        </w:tc>
        <w:tc>
          <w:tcPr>
            <w:tcW w:type="dxa" w:w="446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Run HCW in test environment first. Maintain rollback: revert MX record to on-premises within 15 minutes using pre-staged DNS change.</w:t>
            </w:r>
          </w:p>
        </w:tc>
      </w:tr>
      <w:tr>
        <w:tc>
          <w:tcPr>
            <w:tcW w:type="dxa" w:w="24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Azure AD Connect sync failure causes authentication outage</w:t>
            </w:r>
          </w:p>
        </w:tc>
        <w:tc>
          <w:tcPr>
            <w:tcW w:type="dxa" w:w="10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spacing w:before="40" w:after="40"/>
            </w:pPr>
            <w:r>
              <w:rPr>
                <w:rFonts w:ascii="Arial" w:cs="Arial" w:eastAsia="Arial" w:hAnsi="Arial"/>
                <w:b/>
                <w:bCs/>
                <w:color w:val="000000"/>
                <w:sz w:val="19"/>
                <w:szCs w:val="19"/>
              </w:rPr>
              <w:t xml:space="preserve">High</w:t>
            </w:r>
          </w:p>
        </w:tc>
        <w:tc>
          <w:tcPr>
            <w:tcW w:type="dxa" w:w="15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Users cannot sign in to M365 services</w:t>
            </w:r>
          </w:p>
        </w:tc>
        <w:tc>
          <w:tcPr>
            <w:tcW w:type="dxa" w:w="446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Deploy staging AAD Connect server (AADCONN02). Failover procedure documented and tested. RPO: 30 minutes.</w:t>
            </w:r>
          </w:p>
        </w:tc>
      </w:tr>
      <w:tr>
        <w:tc>
          <w:tcPr>
            <w:tcW w:type="dxa" w:w="24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Large mailbox (&gt;50 GB) migration exceeds weekend window</w:t>
            </w:r>
          </w:p>
        </w:tc>
        <w:tc>
          <w:tcPr>
            <w:tcW w:type="dxa" w:w="10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pPr>
              <w:spacing w:before="40" w:after="40"/>
            </w:pPr>
            <w:r>
              <w:rPr>
                <w:rFonts w:ascii="Arial" w:cs="Arial" w:eastAsia="Arial" w:hAnsi="Arial"/>
                <w:b/>
                <w:bCs/>
                <w:color w:val="000000"/>
                <w:sz w:val="19"/>
                <w:szCs w:val="19"/>
              </w:rPr>
              <w:t xml:space="preserve">Medium</w:t>
            </w:r>
          </w:p>
        </w:tc>
        <w:tc>
          <w:tcPr>
            <w:tcW w:type="dxa" w:w="1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User without email access Monday AM</w:t>
            </w:r>
          </w:p>
        </w:tc>
        <w:tc>
          <w:tcPr>
            <w:tcW w:type="dxa" w:w="44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Pre-archive: move items older than 3 years to Exchange Online Archive before primary mailbox move. Schedule large mailboxes in off-peak windows.</w:t>
            </w:r>
          </w:p>
        </w:tc>
      </w:tr>
      <w:tr>
        <w:tc>
          <w:tcPr>
            <w:tcW w:type="dxa" w:w="24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File corruption during SPMT migration</w:t>
            </w:r>
          </w:p>
        </w:tc>
        <w:tc>
          <w:tcPr>
            <w:tcW w:type="dxa" w:w="10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pPr>
              <w:spacing w:before="40" w:after="40"/>
            </w:pPr>
            <w:r>
              <w:rPr>
                <w:rFonts w:ascii="Arial" w:cs="Arial" w:eastAsia="Arial" w:hAnsi="Arial"/>
                <w:b/>
                <w:bCs/>
                <w:color w:val="000000"/>
                <w:sz w:val="19"/>
                <w:szCs w:val="19"/>
              </w:rPr>
              <w:t xml:space="preserve">Medium</w:t>
            </w:r>
          </w:p>
        </w:tc>
        <w:tc>
          <w:tcPr>
            <w:tcW w:type="dxa" w:w="1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Loss of business documents</w:t>
            </w:r>
          </w:p>
        </w:tc>
        <w:tc>
          <w:tcPr>
            <w:tcW w:type="dxa" w:w="44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Run three migration passes. Validate checksums on 5% sample. Source file server remains live (read-only) for 30 days post-migration.</w:t>
            </w:r>
          </w:p>
        </w:tc>
      </w:tr>
      <w:tr>
        <w:tc>
          <w:tcPr>
            <w:tcW w:type="dxa" w:w="24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MX record propagation delay causes mail bounce</w:t>
            </w:r>
          </w:p>
        </w:tc>
        <w:tc>
          <w:tcPr>
            <w:tcW w:type="dxa" w:w="10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pPr>
              <w:spacing w:before="40" w:after="40"/>
            </w:pPr>
            <w:r>
              <w:rPr>
                <w:rFonts w:ascii="Arial" w:cs="Arial" w:eastAsia="Arial" w:hAnsi="Arial"/>
                <w:b/>
                <w:bCs/>
                <w:color w:val="000000"/>
                <w:sz w:val="19"/>
                <w:szCs w:val="19"/>
              </w:rPr>
              <w:t xml:space="preserve">Medium</w:t>
            </w:r>
          </w:p>
        </w:tc>
        <w:tc>
          <w:tcPr>
            <w:tcW w:type="dxa" w:w="1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Inbound email loss during cutover</w:t>
            </w:r>
          </w:p>
        </w:tc>
        <w:tc>
          <w:tcPr>
            <w:tcW w:type="dxa" w:w="44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Reduce DNS TTL to 300s 48 hours before MX change. On-premises receive connector accepts mail during propagation period.</w:t>
            </w:r>
          </w:p>
        </w:tc>
      </w:tr>
      <w:tr>
        <w:tc>
          <w:tcPr>
            <w:tcW w:type="dxa" w:w="24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Users unable to configure Outlook post-migration</w:t>
            </w:r>
          </w:p>
        </w:tc>
        <w:tc>
          <w:tcPr>
            <w:tcW w:type="dxa" w:w="10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pPr>
              <w:spacing w:before="40" w:after="40"/>
            </w:pPr>
            <w:r>
              <w:rPr>
                <w:rFonts w:ascii="Arial" w:cs="Arial" w:eastAsia="Arial" w:hAnsi="Arial"/>
                <w:b/>
                <w:bCs/>
                <w:color w:val="000000"/>
                <w:sz w:val="19"/>
                <w:szCs w:val="19"/>
              </w:rPr>
              <w:t xml:space="preserve">Medium</w:t>
            </w:r>
          </w:p>
        </w:tc>
        <w:tc>
          <w:tcPr>
            <w:tcW w:type="dxa" w:w="150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Help desk overload; productivity loss</w:t>
            </w:r>
          </w:p>
        </w:tc>
        <w:tc>
          <w:tcPr>
            <w:tcW w:type="dxa" w:w="4460"/>
            <w:tcBorders>
              <w:top w:val="single" w:color="CCCCCC" w:sz="1"/>
              <w:left w:val="single" w:color="CCCCCC" w:sz="1"/>
              <w:bottom w:val="single" w:color="CCCCCC" w:sz="1"/>
              <w:right w:val="single" w:color="CCCCCC" w:sz="1"/>
            </w:tcBorders>
            <w:shd w:fill="FFF4CE"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Pre-deploy Outlook profile via GPO/Intune. Test Autodiscover against Exchange Online 48 hours before user batch goes live.</w:t>
            </w:r>
          </w:p>
        </w:tc>
      </w:tr>
      <w:tr>
        <w:tc>
          <w:tcPr>
            <w:tcW w:type="dxa" w:w="24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Conditional Access policy locks out admin accounts</w:t>
            </w:r>
          </w:p>
        </w:tc>
        <w:tc>
          <w:tcPr>
            <w:tcW w:type="dxa" w:w="10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spacing w:before="40" w:after="40"/>
            </w:pPr>
            <w:r>
              <w:rPr>
                <w:rFonts w:ascii="Arial" w:cs="Arial" w:eastAsia="Arial" w:hAnsi="Arial"/>
                <w:b/>
                <w:bCs/>
                <w:color w:val="000000"/>
                <w:sz w:val="19"/>
                <w:szCs w:val="19"/>
              </w:rPr>
              <w:t xml:space="preserve">High</w:t>
            </w:r>
          </w:p>
        </w:tc>
        <w:tc>
          <w:tcPr>
            <w:tcW w:type="dxa" w:w="150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Loss of tenant admin access</w:t>
            </w:r>
          </w:p>
        </w:tc>
        <w:tc>
          <w:tcPr>
            <w:tcW w:type="dxa" w:w="4460"/>
            <w:tcBorders>
              <w:top w:val="single" w:color="CCCCCC" w:sz="1"/>
              <w:left w:val="single" w:color="CCCCCC" w:sz="1"/>
              <w:bottom w:val="single" w:color="CCCCCC" w:sz="1"/>
              <w:right w:val="single" w:color="CCCCCC" w:sz="1"/>
            </w:tcBorders>
            <w:shd w:fill="FFD7D7"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Create 2 break-glass admin accounts excluded from all CA policies. Store credentials in physical safe. Test monthly.</w:t>
            </w:r>
          </w:p>
        </w:tc>
      </w:tr>
      <w:tr>
        <w:tc>
          <w:tcPr>
            <w:tcW w:type="dxa" w:w="2400"/>
            <w:tcBorders>
              <w:top w:val="single" w:color="CCCCCC" w:sz="1"/>
              <w:left w:val="single" w:color="CCCCCC" w:sz="1"/>
              <w:bottom w:val="single" w:color="CCCCCC" w:sz="1"/>
              <w:right w:val="single" w:color="CCCCCC" w:sz="1"/>
            </w:tcBorders>
            <w:shd w:fill="DFF6DD"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Third-party application using Basic Auth breaks post-migration</w:t>
            </w:r>
          </w:p>
        </w:tc>
        <w:tc>
          <w:tcPr>
            <w:tcW w:type="dxa" w:w="1000"/>
            <w:tcBorders>
              <w:top w:val="single" w:color="CCCCCC" w:sz="1"/>
              <w:left w:val="single" w:color="CCCCCC" w:sz="1"/>
              <w:bottom w:val="single" w:color="CCCCCC" w:sz="1"/>
              <w:right w:val="single" w:color="CCCCCC" w:sz="1"/>
            </w:tcBorders>
            <w:shd w:fill="DFF6DD" w:val="clear"/>
            <w:tcMar>
              <w:top w:type="dxa" w:w="80"/>
              <w:left w:type="dxa" w:w="120"/>
              <w:bottom w:type="dxa" w:w="80"/>
              <w:right w:type="dxa" w:w="120"/>
            </w:tcMar>
          </w:tcPr>
          <w:p>
            <w:pPr>
              <w:spacing w:before="40" w:after="40"/>
            </w:pPr>
            <w:r>
              <w:rPr>
                <w:rFonts w:ascii="Arial" w:cs="Arial" w:eastAsia="Arial" w:hAnsi="Arial"/>
                <w:b/>
                <w:bCs/>
                <w:color w:val="000000"/>
                <w:sz w:val="19"/>
                <w:szCs w:val="19"/>
              </w:rPr>
              <w:t xml:space="preserve">Low</w:t>
            </w:r>
          </w:p>
        </w:tc>
        <w:tc>
          <w:tcPr>
            <w:tcW w:type="dxa" w:w="1500"/>
            <w:tcBorders>
              <w:top w:val="single" w:color="CCCCCC" w:sz="1"/>
              <w:left w:val="single" w:color="CCCCCC" w:sz="1"/>
              <w:bottom w:val="single" w:color="CCCCCC" w:sz="1"/>
              <w:right w:val="single" w:color="CCCCCC" w:sz="1"/>
            </w:tcBorders>
            <w:shd w:fill="DFF6DD"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Application outage</w:t>
            </w:r>
          </w:p>
        </w:tc>
        <w:tc>
          <w:tcPr>
            <w:tcW w:type="dxa" w:w="4460"/>
            <w:tcBorders>
              <w:top w:val="single" w:color="CCCCCC" w:sz="1"/>
              <w:left w:val="single" w:color="CCCCCC" w:sz="1"/>
              <w:bottom w:val="single" w:color="CCCCCC" w:sz="1"/>
              <w:right w:val="single" w:color="CCCCCC" w:sz="1"/>
            </w:tcBorders>
            <w:shd w:fill="DFF6DD" w:val="clear"/>
            <w:tcMar>
              <w:top w:type="dxa" w:w="80"/>
              <w:left w:type="dxa" w:w="120"/>
              <w:bottom w:type="dxa" w:w="80"/>
              <w:right w:type="dxa" w:w="120"/>
            </w:tcMar>
          </w:tcPr>
          <w:p>
            <w:pPr>
              <w:spacing w:before="40" w:after="40"/>
            </w:pPr>
            <w:r>
              <w:rPr>
                <w:rFonts w:ascii="Arial" w:cs="Arial" w:eastAsia="Arial" w:hAnsi="Arial"/>
                <w:b w:val="false"/>
                <w:bCs w:val="false"/>
                <w:color w:val="000000"/>
                <w:sz w:val="19"/>
                <w:szCs w:val="19"/>
              </w:rPr>
              <w:t xml:space="preserve">Audit all applications using Basic Auth in Phase 1. Migrate to OAuth/Modern Auth before Exchange Online enforces Basic Auth block.</w:t>
            </w:r>
          </w:p>
        </w:tc>
      </w:tr>
    </w:tbl>
    <w:p>
      <w:pPr>
        <w:spacing w:before="80" w:after="0"/>
      </w:pPr>
      <w:r>
        <w:t xml:space="preserve"/>
      </w:r>
    </w:p>
    <w:p>
      <w:pPr>
        <w:pStyle w:val="Heading2"/>
        <w:spacing w:before="240" w:after="100"/>
      </w:pPr>
      <w:r>
        <w:rPr>
          <w:rFonts w:ascii="Arial" w:cs="Arial" w:eastAsia="Arial" w:hAnsi="Arial"/>
          <w:b/>
          <w:bCs/>
          <w:color w:val="1A1A2E"/>
          <w:sz w:val="26"/>
          <w:szCs w:val="26"/>
        </w:rPr>
        <w:t xml:space="preserve">6.2 Rollback Plan</w:t>
      </w:r>
    </w:p>
    <w:p>
      <w:pPr>
        <w:spacing w:before="40" w:after="0"/>
      </w:pPr>
      <w:r>
        <w:t xml:space="preserve"/>
      </w:r>
    </w:p>
    <w:tbl>
      <w:tblPr>
        <w:tblW w:type="dxa" w:w="9360"/>
        <w:tblBorders>
          <w:top w:val="single" w:color="D83B01" w:sz="4"/>
          <w:left w:val="single" w:color="D83B01" w:sz="4"/>
          <w:bottom w:val="single" w:color="D83B01" w:sz="4"/>
          <w:right w:val="single" w:color="D83B01"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D7D7" w:val="clear"/>
            <w:tcMar>
              <w:top w:type="dxa" w:w="80"/>
              <w:left w:type="dxa" w:w="200"/>
              <w:bottom w:type="dxa" w:w="80"/>
              <w:right w:type="dxa" w:w="200"/>
            </w:tcMar>
          </w:tcPr>
          <w:p/>
        </w:tc>
      </w:tr>
    </w:tbl>
    <w:p>
      <w:pPr>
        <w:spacing w:before="40" w:after="0"/>
      </w:pPr>
      <w:r>
        <w:t xml:space="preserve"/>
      </w:r>
    </w:p>
    <w:p>
      <w:pPr>
        <w:pStyle w:val="Heading3"/>
        <w:spacing w:before="180" w:after="80"/>
      </w:pPr>
      <w:r>
        <w:rPr>
          <w:rFonts w:ascii="Arial" w:cs="Arial" w:eastAsia="Arial" w:hAnsi="Arial"/>
          <w:b/>
          <w:bCs/>
          <w:color w:val="555555"/>
          <w:sz w:val="22"/>
          <w:szCs w:val="22"/>
        </w:rPr>
        <w:t xml:space="preserve">Rollback Procedure — Mailbox</w:t>
      </w:r>
    </w:p>
    <w:p>
      <w:pPr>
        <w:pStyle w:val="ListParagraph"/>
        <w:numPr>
          <w:ilvl w:val="0"/>
          <w:numId w:val="3"/>
        </w:numPr>
        <w:spacing w:before="40" w:after="40"/>
      </w:pPr>
      <w:r>
        <w:rPr>
          <w:rFonts w:ascii="Arial" w:cs="Arial" w:eastAsia="Arial" w:hAnsi="Arial"/>
          <w:color w:val="000000"/>
          <w:sz w:val="22"/>
          <w:szCs w:val="22"/>
        </w:rPr>
        <w:t xml:space="preserve">Revert MX record to on-premises Exchange server (pre-staged DNS change — 15 minutes execution time).</w:t>
      </w:r>
    </w:p>
    <w:p>
      <w:pPr>
        <w:pStyle w:val="ListParagraph"/>
        <w:numPr>
          <w:ilvl w:val="0"/>
          <w:numId w:val="3"/>
        </w:numPr>
        <w:spacing w:before="40" w:after="40"/>
      </w:pPr>
      <w:r>
        <w:rPr>
          <w:rFonts w:ascii="Arial" w:cs="Arial" w:eastAsia="Arial" w:hAnsi="Arial"/>
          <w:color w:val="000000"/>
          <w:sz w:val="22"/>
          <w:szCs w:val="22"/>
        </w:rPr>
        <w:t xml:space="preserve">Move-Mailbox back to on-premises Exchange database for affected batch:</w:t>
      </w:r>
    </w:p>
    <w:p>
      <w:pPr>
        <w:spacing w:before="40" w:after="40"/>
        <w:ind w:left="360"/>
      </w:pPr>
      <w:r>
        <w:rPr>
          <w:rFonts w:ascii="Courier New" w:cs="Courier New" w:eastAsia="Courier New" w:hAnsi="Courier New"/>
          <w:color w:val="C7254E"/>
          <w:sz w:val="18"/>
          <w:szCs w:val="18"/>
        </w:rPr>
        <w:t xml:space="preserve">New-MoveRequest -Identity user@meridiangs.com -TargetDatabase 'DB01' -Outbound</w:t>
      </w:r>
    </w:p>
    <w:p>
      <w:pPr>
        <w:pStyle w:val="ListParagraph"/>
        <w:numPr>
          <w:ilvl w:val="0"/>
          <w:numId w:val="3"/>
        </w:numPr>
        <w:spacing w:before="40" w:after="40"/>
      </w:pPr>
      <w:r>
        <w:rPr>
          <w:rFonts w:ascii="Arial" w:cs="Arial" w:eastAsia="Arial" w:hAnsi="Arial"/>
          <w:color w:val="000000"/>
          <w:sz w:val="22"/>
          <w:szCs w:val="22"/>
        </w:rPr>
        <w:t xml:space="preserve">Notify affected users via SMS (out-of-band) that email is temporarily routing through on-premises server.</w:t>
      </w:r>
    </w:p>
    <w:p>
      <w:pPr>
        <w:pStyle w:val="ListParagraph"/>
        <w:numPr>
          <w:ilvl w:val="0"/>
          <w:numId w:val="3"/>
        </w:numPr>
        <w:spacing w:before="40" w:after="40"/>
      </w:pPr>
      <w:r>
        <w:rPr>
          <w:rFonts w:ascii="Arial" w:cs="Arial" w:eastAsia="Arial" w:hAnsi="Arial"/>
          <w:color w:val="000000"/>
          <w:sz w:val="22"/>
          <w:szCs w:val="22"/>
        </w:rPr>
        <w:t xml:space="preserve">Conduct root cause analysis (RCA) before re-attempting migration.</w:t>
      </w:r>
    </w:p>
    <w:p>
      <w:pPr>
        <w:spacing w:before="40" w:after="0"/>
      </w:pPr>
      <w:r>
        <w:t xml:space="preserve"/>
      </w:r>
    </w:p>
    <w:p>
      <w:pPr>
        <w:pStyle w:val="Heading3"/>
        <w:spacing w:before="180" w:after="80"/>
      </w:pPr>
      <w:r>
        <w:rPr>
          <w:rFonts w:ascii="Arial" w:cs="Arial" w:eastAsia="Arial" w:hAnsi="Arial"/>
          <w:b/>
          <w:bCs/>
          <w:color w:val="555555"/>
          <w:sz w:val="22"/>
          <w:szCs w:val="22"/>
        </w:rPr>
        <w:t xml:space="preserve">Rollback Procedure — File Migration</w:t>
      </w:r>
    </w:p>
    <w:p>
      <w:pPr>
        <w:pStyle w:val="ListParagraph"/>
        <w:numPr>
          <w:ilvl w:val="0"/>
          <w:numId w:val="3"/>
        </w:numPr>
        <w:spacing w:before="40" w:after="40"/>
      </w:pPr>
      <w:r>
        <w:rPr>
          <w:rFonts w:ascii="Arial" w:cs="Arial" w:eastAsia="Arial" w:hAnsi="Arial"/>
          <w:color w:val="000000"/>
          <w:sz w:val="22"/>
          <w:szCs w:val="22"/>
        </w:rPr>
        <w:t xml:space="preserve">SharePoint document libraries placed in read-only mode.</w:t>
      </w:r>
    </w:p>
    <w:p>
      <w:pPr>
        <w:pStyle w:val="ListParagraph"/>
        <w:numPr>
          <w:ilvl w:val="0"/>
          <w:numId w:val="3"/>
        </w:numPr>
        <w:spacing w:before="40" w:after="40"/>
      </w:pPr>
      <w:r>
        <w:rPr>
          <w:rFonts w:ascii="Arial" w:cs="Arial" w:eastAsia="Arial" w:hAnsi="Arial"/>
          <w:color w:val="000000"/>
          <w:sz w:val="22"/>
          <w:szCs w:val="22"/>
        </w:rPr>
        <w:t xml:space="preserve">On-premises file server re-enabled for read-write access.</w:t>
      </w:r>
    </w:p>
    <w:p>
      <w:pPr>
        <w:pStyle w:val="ListParagraph"/>
        <w:numPr>
          <w:ilvl w:val="0"/>
          <w:numId w:val="3"/>
        </w:numPr>
        <w:spacing w:before="40" w:after="40"/>
      </w:pPr>
      <w:r>
        <w:rPr>
          <w:rFonts w:ascii="Arial" w:cs="Arial" w:eastAsia="Arial" w:hAnsi="Arial"/>
          <w:color w:val="000000"/>
          <w:sz w:val="22"/>
          <w:szCs w:val="22"/>
        </w:rPr>
        <w:t xml:space="preserve">DFS namespace referrals reverted to point to on-premises paths.</w:t>
      </w:r>
    </w:p>
    <w:p>
      <w:pPr>
        <w:pStyle w:val="ListParagraph"/>
        <w:numPr>
          <w:ilvl w:val="0"/>
          <w:numId w:val="3"/>
        </w:numPr>
        <w:spacing w:before="40" w:after="40"/>
      </w:pPr>
      <w:r>
        <w:rPr>
          <w:rFonts w:ascii="Arial" w:cs="Arial" w:eastAsia="Arial" w:hAnsi="Arial"/>
          <w:color w:val="000000"/>
          <w:sz w:val="22"/>
          <w:szCs w:val="22"/>
        </w:rPr>
        <w:t xml:space="preserve">Users notified via Teams/SMS to access files from original network path.</w:t>
      </w:r>
    </w:p>
    <w:p>
      <w:r>
        <w:br w:type="page"/>
      </w:r>
    </w:p>
    <w:p>
      <w:pPr>
        <w:pStyle w:val="Heading1"/>
        <w:pBdr>
          <w:bottom w:val="single" w:color="0078D4" w:sz="6" w:space="4"/>
        </w:pBdr>
        <w:spacing w:before="320" w:after="160"/>
      </w:pPr>
      <w:r>
        <w:rPr>
          <w:rFonts w:ascii="Arial" w:cs="Arial" w:eastAsia="Arial" w:hAnsi="Arial"/>
          <w:b/>
          <w:bCs/>
          <w:color w:val="0078D4"/>
          <w:sz w:val="32"/>
          <w:szCs w:val="32"/>
        </w:rPr>
        <w:t xml:space="preserve">7. Communication Plan</w:t>
      </w:r>
    </w:p>
    <w:p>
      <w:pPr>
        <w:spacing w:before="60" w:after="0"/>
      </w:pPr>
      <w:r>
        <w:t xml:space="preserve"/>
      </w:r>
    </w:p>
    <w:p>
      <w:pPr>
        <w:pStyle w:val="Heading2"/>
        <w:spacing w:before="240" w:after="100"/>
      </w:pPr>
      <w:r>
        <w:rPr>
          <w:rFonts w:ascii="Arial" w:cs="Arial" w:eastAsia="Arial" w:hAnsi="Arial"/>
          <w:b/>
          <w:bCs/>
          <w:color w:val="1A1A2E"/>
          <w:sz w:val="26"/>
          <w:szCs w:val="26"/>
        </w:rPr>
        <w:t xml:space="preserve">7.1 Communication Timeline</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c>
          <w:tcPr>
            <w:tcW w:type="dxa" w:w="180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19"/>
                <w:szCs w:val="19"/>
              </w:rPr>
              <w:t xml:space="preserve">Timing</w:t>
            </w:r>
          </w:p>
        </w:tc>
        <w:tc>
          <w:tcPr>
            <w:tcW w:type="dxa" w:w="300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19"/>
                <w:szCs w:val="19"/>
              </w:rPr>
              <w:t xml:space="preserve">Audience</w:t>
            </w:r>
          </w:p>
        </w:tc>
        <w:tc>
          <w:tcPr>
            <w:tcW w:type="dxa" w:w="456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19"/>
                <w:szCs w:val="19"/>
              </w:rPr>
              <w:t xml:space="preserve">Message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Week 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All staff (All-Hands)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Announcement of M365 migration project. Vision, timeline, and benefits explained by CTO.</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Week 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Batch 1 users (Finance)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Pre-migration notice: your mailbox will be migrated this weekend. What to expect and how to prepare.</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Friday (Migration day)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Batch users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Reminder email: migration begins tonight. Outlook will reconnect automatically Monday morning.</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Monday AM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Batch users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Migration complete email: welcome to Microsoft 365. Quick-start guide attached.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Week 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All staff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SharePoint/OneDrive go-live notice. Training schedule and resources shared.</w:t>
            </w:r>
          </w:p>
        </w:tc>
      </w:tr>
      <w:tr>
        <w:tc>
          <w:tcPr>
            <w:tcW w:type="dxa" w:w="1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000000"/>
                <w:sz w:val="18"/>
                <w:szCs w:val="18"/>
              </w:rPr>
              <w:t xml:space="preserve">Week 16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All staff</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000000"/>
                <w:sz w:val="18"/>
                <w:szCs w:val="18"/>
              </w:rPr>
              <w:t xml:space="preserve">Project completion announcement. IT support details and adoption resources.</w:t>
            </w:r>
          </w:p>
        </w:tc>
      </w:tr>
    </w:tbl>
    <w:p>
      <w:pPr>
        <w:spacing w:before="80" w:after="0"/>
      </w:pPr>
      <w:r>
        <w:t xml:space="preserve"/>
      </w:r>
    </w:p>
    <w:p>
      <w:pPr>
        <w:pStyle w:val="Heading2"/>
        <w:spacing w:before="240" w:after="100"/>
      </w:pPr>
      <w:r>
        <w:rPr>
          <w:rFonts w:ascii="Arial" w:cs="Arial" w:eastAsia="Arial" w:hAnsi="Arial"/>
          <w:b/>
          <w:bCs/>
          <w:color w:val="1A1A2E"/>
          <w:sz w:val="26"/>
          <w:szCs w:val="26"/>
        </w:rPr>
        <w:t xml:space="preserve">7.2 Email Templates</w:t>
      </w:r>
    </w:p>
    <w:p>
      <w:pPr>
        <w:spacing w:before="40" w:after="0"/>
      </w:pPr>
      <w:r>
        <w:t xml:space="preserve"/>
      </w:r>
    </w:p>
    <w:p>
      <w:pPr>
        <w:pStyle w:val="Heading3"/>
        <w:spacing w:before="180" w:after="80"/>
      </w:pPr>
      <w:r>
        <w:rPr>
          <w:rFonts w:ascii="Arial" w:cs="Arial" w:eastAsia="Arial" w:hAnsi="Arial"/>
          <w:b/>
          <w:bCs/>
          <w:color w:val="555555"/>
          <w:sz w:val="22"/>
          <w:szCs w:val="22"/>
        </w:rPr>
        <w:t xml:space="preserve">Template 1 — Pre-Migration Notice (sent Friday AM, Batch Day)</w:t>
      </w:r>
    </w:p>
    <w:p>
      <w:pPr>
        <w:spacing w:before="20" w:after="0"/>
      </w:pPr>
      <w:r>
        <w:t xml:space="preserve"/>
      </w:r>
    </w:p>
    <w:tbl>
      <w:tblPr>
        <w:tblW w:type="dxa" w:w="9360"/>
        <w:tblBorders>
          <w:top w:val="single" w:color="0078D4" w:sz="4"/>
          <w:left w:val="single" w:color="0078D4" w:sz="4"/>
          <w:bottom w:val="single" w:color="0078D4" w:sz="4"/>
          <w:right w:val="single" w:color="0078D4"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C" w:val="clear"/>
            <w:tcMar>
              <w:top w:type="dxa" w:w="80"/>
              <w:left w:type="dxa" w:w="200"/>
              <w:bottom w:type="dxa" w:w="80"/>
              <w:right w:type="dxa" w:w="200"/>
            </w:tcMar>
          </w:tcPr>
          <w:p/>
        </w:tc>
      </w:tr>
    </w:tbl>
    <w:p>
      <w:pPr>
        <w:spacing w:before="60" w:after="0"/>
      </w:pPr>
      <w:r>
        <w:t xml:space="preserve"/>
      </w:r>
    </w:p>
    <w:p>
      <w:pPr>
        <w:pStyle w:val="Heading3"/>
        <w:spacing w:before="180" w:after="80"/>
      </w:pPr>
      <w:r>
        <w:rPr>
          <w:rFonts w:ascii="Arial" w:cs="Arial" w:eastAsia="Arial" w:hAnsi="Arial"/>
          <w:b/>
          <w:bCs/>
          <w:color w:val="555555"/>
          <w:sz w:val="22"/>
          <w:szCs w:val="22"/>
        </w:rPr>
        <w:t xml:space="preserve">Template 2 — Post-Migration Welcome (sent Monday 7 AM)</w:t>
      </w:r>
    </w:p>
    <w:p>
      <w:pPr>
        <w:spacing w:before="20" w:after="0"/>
      </w:pPr>
      <w:r>
        <w:t xml:space="preserve"/>
      </w:r>
    </w:p>
    <w:tbl>
      <w:tblPr>
        <w:tblW w:type="dxa" w:w="9360"/>
        <w:tblBorders>
          <w:top w:val="single" w:color="0078D4" w:sz="4"/>
          <w:left w:val="single" w:color="0078D4" w:sz="4"/>
          <w:bottom w:val="single" w:color="0078D4" w:sz="4"/>
          <w:right w:val="single" w:color="0078D4"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C" w:val="clear"/>
            <w:tcMar>
              <w:top w:type="dxa" w:w="80"/>
              <w:left w:type="dxa" w:w="200"/>
              <w:bottom w:type="dxa" w:w="80"/>
              <w:right w:type="dxa" w:w="200"/>
            </w:tcMar>
          </w:tcPr>
          <w:p/>
        </w:tc>
      </w:tr>
    </w:tbl>
    <w:p>
      <w:r>
        <w:br w:type="page"/>
      </w:r>
    </w:p>
    <w:p>
      <w:pPr>
        <w:pStyle w:val="Heading1"/>
        <w:pBdr>
          <w:bottom w:val="single" w:color="0078D4" w:sz="6" w:space="4"/>
        </w:pBdr>
        <w:spacing w:before="320" w:after="160"/>
      </w:pPr>
      <w:r>
        <w:rPr>
          <w:rFonts w:ascii="Arial" w:cs="Arial" w:eastAsia="Arial" w:hAnsi="Arial"/>
          <w:b/>
          <w:bCs/>
          <w:color w:val="0078D4"/>
          <w:sz w:val="32"/>
          <w:szCs w:val="32"/>
        </w:rPr>
        <w:t xml:space="preserve">8. Tools &amp; Technologies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4960"/>
      </w:tblGrid>
      <w:tr>
        <w:tc>
          <w:tcPr>
            <w:tcW w:type="dxa" w:w="280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19"/>
                <w:szCs w:val="19"/>
              </w:rPr>
              <w:t xml:space="preserve">Tool / Technology</w:t>
            </w:r>
          </w:p>
        </w:tc>
        <w:tc>
          <w:tcPr>
            <w:tcW w:type="dxa" w:w="160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19"/>
                <w:szCs w:val="19"/>
              </w:rPr>
              <w:t xml:space="preserve">Category</w:t>
            </w:r>
          </w:p>
        </w:tc>
        <w:tc>
          <w:tcPr>
            <w:tcW w:type="dxa" w:w="496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19"/>
                <w:szCs w:val="19"/>
              </w:rPr>
              <w:t xml:space="preserve">Role in Migration</w:t>
            </w:r>
          </w:p>
        </w:tc>
      </w:tr>
      <w:tr>
        <w:tc>
          <w:tcPr>
            <w:tcW w:type="dxa" w:w="28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b/>
                <w:bCs/>
                <w:color w:val="0078D4"/>
                <w:sz w:val="18"/>
                <w:szCs w:val="18"/>
              </w:rPr>
              <w:t xml:space="preserve">Exchange Hybrid Configuration Wizard (HCW)</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Connectivity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Establishes hybrid trust and mail-flow coexistence between on-premises Exchange and Exchange Online. Required for Staged Hybrid migration.</w:t>
            </w:r>
          </w:p>
        </w:tc>
      </w:tr>
      <w:tr>
        <w:tc>
          <w:tcPr>
            <w:tcW w:type="dxa" w:w="28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b/>
                <w:bCs/>
                <w:color w:val="0078D4"/>
                <w:sz w:val="18"/>
                <w:szCs w:val="18"/>
              </w:rPr>
              <w:t xml:space="preserve">Azure AD Connect v2.x</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Identity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Synchronizes on-premises Active Directory identities to Azure AD. Enables single-sign-on and hybrid identity. Deployed in PHS mode with Seamless SSO.</w:t>
            </w:r>
          </w:p>
        </w:tc>
      </w:tr>
      <w:tr>
        <w:tc>
          <w:tcPr>
            <w:tcW w:type="dxa" w:w="28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b/>
                <w:bCs/>
                <w:color w:val="0078D4"/>
                <w:sz w:val="18"/>
                <w:szCs w:val="18"/>
              </w:rPr>
              <w:t xml:space="preserve">SharePoint Migration Tool (SPMT)</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File Migration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Microsoft's official tool for migrating file shares, local drives, and SharePoint on-prem content to SharePoint Online and OneDrive. Supports incremental migration.</w:t>
            </w:r>
          </w:p>
        </w:tc>
      </w:tr>
      <w:tr>
        <w:tc>
          <w:tcPr>
            <w:tcW w:type="dxa" w:w="28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b/>
                <w:bCs/>
                <w:color w:val="0078D4"/>
                <w:sz w:val="18"/>
                <w:szCs w:val="18"/>
              </w:rPr>
              <w:t xml:space="preserve">Microsoft 365 Admin Center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Administration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Central portal for tenant configuration, user management, license assignment, and migration monitoring throughout the project.</w:t>
            </w:r>
          </w:p>
        </w:tc>
      </w:tr>
      <w:tr>
        <w:tc>
          <w:tcPr>
            <w:tcW w:type="dxa" w:w="28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b/>
                <w:bCs/>
                <w:color w:val="0078D4"/>
                <w:sz w:val="18"/>
                <w:szCs w:val="18"/>
              </w:rPr>
              <w:t xml:space="preserve">Exchange Admin Center (EAC)</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Mail Migration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Used to create migration endpoints, manage migration batches, monitor progress, and manage Exchange Online configuration post-migration.</w:t>
            </w:r>
          </w:p>
        </w:tc>
      </w:tr>
      <w:tr>
        <w:tc>
          <w:tcPr>
            <w:tcW w:type="dxa" w:w="28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b/>
                <w:bCs/>
                <w:color w:val="0078D4"/>
                <w:sz w:val="18"/>
                <w:szCs w:val="18"/>
              </w:rPr>
              <w:t xml:space="preserve">Microsoft IdFix</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Identity Hygiene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Scans on-premises Active Directory for attribute errors that would prevent successful synchronization to Azure AD. Detects duplicate UPNs, non-routable suffixes, and malformed attributes.</w:t>
            </w:r>
          </w:p>
        </w:tc>
      </w:tr>
      <w:tr>
        <w:tc>
          <w:tcPr>
            <w:tcW w:type="dxa" w:w="28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b/>
                <w:bCs/>
                <w:color w:val="0078D4"/>
                <w:sz w:val="18"/>
                <w:szCs w:val="18"/>
              </w:rPr>
              <w:t xml:space="preserve">Microsoft Defender for Office 365</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Provides anti-phishing, Safe Links, Safe Attachments, and threat intelligence for Exchange Online. Configured post-migration to replace the absent on-premises email security stack.</w:t>
            </w:r>
          </w:p>
        </w:tc>
      </w:tr>
      <w:tr>
        <w:tc>
          <w:tcPr>
            <w:tcW w:type="dxa" w:w="28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b/>
                <w:bCs/>
                <w:color w:val="0078D4"/>
                <w:sz w:val="18"/>
                <w:szCs w:val="18"/>
              </w:rPr>
              <w:t xml:space="preserve">Microsoft Intune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Device Mgmt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Mobile Device Management (MDM) and Mobile Application Management (MAM) platform. Used to enforce Outlook profile configuration and OneDrive Known Folder Move policy.</w:t>
            </w:r>
          </w:p>
        </w:tc>
      </w:tr>
      <w:tr>
        <w:tc>
          <w:tcPr>
            <w:tcW w:type="dxa" w:w="28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b/>
                <w:bCs/>
                <w:color w:val="0078D4"/>
                <w:sz w:val="18"/>
                <w:szCs w:val="18"/>
              </w:rPr>
              <w:t xml:space="preserve">Microsoft Secure Score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Security Posture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Measures the organization's security posture against Microsoft's recommended configurations. Used as a baseline before migration and a target metric post-migration.</w:t>
            </w:r>
          </w:p>
        </w:tc>
      </w:tr>
      <w:tr>
        <w:tc>
          <w:tcPr>
            <w:tcW w:type="dxa" w:w="28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b/>
                <w:bCs/>
                <w:color w:val="0078D4"/>
                <w:sz w:val="18"/>
                <w:szCs w:val="18"/>
              </w:rPr>
              <w:t xml:space="preserve">PowerShell (ExchangeOnlineManagement + Microsoft.Graph)</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Automation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Primary scripting platform for bulk operations: user creation, license assignment, migration batch management, compliance configuration, and reporting.</w:t>
            </w:r>
          </w:p>
        </w:tc>
      </w:tr>
      <w:tr>
        <w:tc>
          <w:tcPr>
            <w:tcW w:type="dxa" w:w="28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b/>
                <w:bCs/>
                <w:color w:val="0078D4"/>
                <w:sz w:val="18"/>
                <w:szCs w:val="18"/>
              </w:rPr>
              <w:t xml:space="preserve">Exchange Health Checker</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Assessment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Community PowerShell script endorsed by Microsoft for assessing the health and configuration of on-premises Exchange servers prior to hybrid configuration.</w:t>
            </w:r>
          </w:p>
        </w:tc>
      </w:tr>
      <w:tr>
        <w:tc>
          <w:tcPr>
            <w:tcW w:type="dxa" w:w="28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b/>
                <w:bCs/>
                <w:color w:val="0078D4"/>
                <w:sz w:val="18"/>
                <w:szCs w:val="18"/>
              </w:rPr>
              <w:t xml:space="preserve">Network Connectivity Test (network.microsoft.com)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Assessment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Microsoft's online tool for measuring latency, throughput, and connectivity quality from client machines to Microsoft 365 endpoints. Used in Phase 1 per office.</w:t>
            </w:r>
          </w:p>
        </w:tc>
      </w:tr>
      <w:tr>
        <w:tc>
          <w:tcPr>
            <w:tcW w:type="dxa" w:w="28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b/>
                <w:bCs/>
                <w:color w:val="0078D4"/>
                <w:sz w:val="18"/>
                <w:szCs w:val="18"/>
              </w:rPr>
              <w:t xml:space="preserve">Azure ExpressRoute</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Connectivity</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Dedicated private network circuit from MGS primary datacenter to Microsoft peering. Guarantees low latency and high bandwidth for migration traffic and production workloads.</w:t>
            </w:r>
          </w:p>
        </w:tc>
      </w:tr>
      <w:tr>
        <w:tc>
          <w:tcPr>
            <w:tcW w:type="dxa" w:w="2800"/>
            <w:tcBorders>
              <w:top w:val="single" w:color="CCCCCC" w:sz="1"/>
              <w:left w:val="single" w:color="CCCCCC" w:sz="1"/>
              <w:bottom w:val="single" w:color="CCCCCC" w:sz="1"/>
              <w:right w:val="single" w:color="CCCCCC" w:sz="1"/>
            </w:tcBorders>
            <w:shd w:fill="EFF6FC" w:val="clear"/>
            <w:tcMar>
              <w:top w:type="dxa" w:w="80"/>
              <w:left w:type="dxa" w:w="120"/>
              <w:bottom w:type="dxa" w:w="80"/>
              <w:right w:type="dxa" w:w="120"/>
            </w:tcMar>
          </w:tcPr>
          <w:p>
            <w:r>
              <w:rPr>
                <w:rFonts w:ascii="Arial" w:cs="Arial" w:eastAsia="Arial" w:hAnsi="Arial"/>
                <w:b/>
                <w:bCs/>
                <w:color w:val="0078D4"/>
                <w:sz w:val="18"/>
                <w:szCs w:val="18"/>
              </w:rPr>
              <w:t xml:space="preserve">mail-tester.com</w:t>
            </w:r>
          </w:p>
        </w:tc>
        <w:tc>
          <w:tcPr>
            <w:tcW w:type="dxa" w:w="1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val="false"/>
                <w:bCs w:val="false"/>
                <w:color w:val="000000"/>
                <w:sz w:val="18"/>
                <w:szCs w:val="18"/>
              </w:rPr>
              <w:t xml:space="preserve">Validation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Third-party email testing tool used to validate SPF, DKIM, DMARC, and spam score for outbound email from Exchange Online post-cutover.</w:t>
            </w:r>
          </w:p>
        </w:tc>
      </w:tr>
    </w:tbl>
    <w:p>
      <w:r>
        <w:br w:type="page"/>
      </w:r>
    </w:p>
    <w:p>
      <w:pPr>
        <w:pStyle w:val="Heading1"/>
        <w:pBdr>
          <w:bottom w:val="single" w:color="0078D4" w:sz="6" w:space="4"/>
        </w:pBdr>
        <w:spacing w:before="320" w:after="160"/>
      </w:pPr>
      <w:r>
        <w:rPr>
          <w:rFonts w:ascii="Arial" w:cs="Arial" w:eastAsia="Arial" w:hAnsi="Arial"/>
          <w:b/>
          <w:bCs/>
          <w:color w:val="0078D4"/>
          <w:sz w:val="32"/>
          <w:szCs w:val="32"/>
        </w:rPr>
        <w:t xml:space="preserve">9. Results &amp; Benefits</w:t>
      </w:r>
    </w:p>
    <w:p>
      <w:pPr>
        <w:spacing w:before="60" w:after="0"/>
      </w:pPr>
      <w:r>
        <w:t xml:space="preserve"/>
      </w:r>
    </w:p>
    <w:p>
      <w:pPr>
        <w:pStyle w:val="Heading2"/>
        <w:spacing w:before="240" w:after="100"/>
      </w:pPr>
      <w:r>
        <w:rPr>
          <w:rFonts w:ascii="Arial" w:cs="Arial" w:eastAsia="Arial" w:hAnsi="Arial"/>
          <w:b/>
          <w:bCs/>
          <w:color w:val="1A1A2E"/>
          <w:sz w:val="26"/>
          <w:szCs w:val="26"/>
        </w:rPr>
        <w:t xml:space="preserve">9.1 Measurable Outcomes</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380"/>
        <w:gridCol w:w="3380"/>
      </w:tblGrid>
      <w:tr>
        <w:tc>
          <w:tcPr>
            <w:tcW w:type="dxa" w:w="360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19"/>
                <w:szCs w:val="19"/>
              </w:rPr>
              <w:t xml:space="preserve">Metric</w:t>
            </w:r>
          </w:p>
        </w:tc>
        <w:tc>
          <w:tcPr>
            <w:tcW w:type="dxa" w:w="238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19"/>
                <w:szCs w:val="19"/>
              </w:rPr>
              <w:t xml:space="preserve">Before Migration</w:t>
            </w:r>
          </w:p>
        </w:tc>
        <w:tc>
          <w:tcPr>
            <w:tcW w:type="dxa" w:w="3380"/>
            <w:tcBorders>
              <w:top w:val="single" w:color="0078D4" w:sz="1"/>
              <w:left w:val="single" w:color="0078D4" w:sz="1"/>
              <w:bottom w:val="single" w:color="0078D4" w:sz="1"/>
              <w:right w:val="single" w:color="0078D4" w:sz="1"/>
            </w:tcBorders>
            <w:shd w:fill="0078D4" w:val="clear"/>
            <w:tcMar>
              <w:top w:type="dxa" w:w="80"/>
              <w:left w:type="dxa" w:w="120"/>
              <w:bottom w:type="dxa" w:w="80"/>
              <w:right w:type="dxa" w:w="120"/>
            </w:tcMar>
          </w:tcPr>
          <w:p>
            <w:r>
              <w:rPr>
                <w:rFonts w:ascii="Arial" w:cs="Arial" w:eastAsia="Arial" w:hAnsi="Arial"/>
                <w:b/>
                <w:bCs/>
                <w:color w:val="FFFFFF"/>
                <w:sz w:val="19"/>
                <w:szCs w:val="19"/>
              </w:rPr>
              <w:t xml:space="preserve">After Migration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Infrastructure Unplanned Downtime (per quarter)</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9.2 hours avg</w:t>
            </w:r>
          </w:p>
        </w:tc>
        <w:tc>
          <w:tcPr>
            <w:tcW w:type="dxa" w:w="3380"/>
            <w:tcBorders>
              <w:top w:val="single" w:color="CCCCCC" w:sz="1"/>
              <w:left w:val="single" w:color="CCCCCC" w:sz="1"/>
              <w:bottom w:val="single" w:color="CCCCCC" w:sz="1"/>
              <w:right w:val="single" w:color="CCCCCC" w:sz="1"/>
            </w:tcBorders>
            <w:shd w:fill="DFF6DD" w:val="clear"/>
            <w:tcMar>
              <w:top w:type="dxa" w:w="80"/>
              <w:left w:type="dxa" w:w="120"/>
              <w:bottom w:type="dxa" w:w="80"/>
              <w:right w:type="dxa" w:w="120"/>
            </w:tcMar>
          </w:tcPr>
          <w:p>
            <w:r>
              <w:rPr>
                <w:rFonts w:ascii="Arial" w:cs="Arial" w:eastAsia="Arial" w:hAnsi="Arial"/>
                <w:b w:val="false"/>
                <w:bCs w:val="false"/>
                <w:color w:val="107C10"/>
                <w:sz w:val="18"/>
                <w:szCs w:val="18"/>
              </w:rPr>
              <w:t xml:space="preserve">0 hours (SLA: 99.99% uptime)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Email Latency (remote users via VPN)</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340 ms avg</w:t>
            </w:r>
          </w:p>
        </w:tc>
        <w:tc>
          <w:tcPr>
            <w:tcW w:type="dxa" w:w="3380"/>
            <w:tcBorders>
              <w:top w:val="single" w:color="CCCCCC" w:sz="1"/>
              <w:left w:val="single" w:color="CCCCCC" w:sz="1"/>
              <w:bottom w:val="single" w:color="CCCCCC" w:sz="1"/>
              <w:right w:val="single" w:color="CCCCCC" w:sz="1"/>
            </w:tcBorders>
            <w:shd w:fill="DFF6DD" w:val="clear"/>
            <w:tcMar>
              <w:top w:type="dxa" w:w="80"/>
              <w:left w:type="dxa" w:w="120"/>
              <w:bottom w:type="dxa" w:w="80"/>
              <w:right w:type="dxa" w:w="120"/>
            </w:tcMar>
          </w:tcPr>
          <w:p>
            <w:r>
              <w:rPr>
                <w:rFonts w:ascii="Arial" w:cs="Arial" w:eastAsia="Arial" w:hAnsi="Arial"/>
                <w:b w:val="false"/>
                <w:bCs w:val="false"/>
                <w:color w:val="107C10"/>
                <w:sz w:val="18"/>
                <w:szCs w:val="18"/>
              </w:rPr>
              <w:t xml:space="preserve">28 ms avg (92% improvement)</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IT Infrastructure OpEx (monthly)</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$47,000/month</w:t>
            </w:r>
          </w:p>
        </w:tc>
        <w:tc>
          <w:tcPr>
            <w:tcW w:type="dxa" w:w="3380"/>
            <w:tcBorders>
              <w:top w:val="single" w:color="CCCCCC" w:sz="1"/>
              <w:left w:val="single" w:color="CCCCCC" w:sz="1"/>
              <w:bottom w:val="single" w:color="CCCCCC" w:sz="1"/>
              <w:right w:val="single" w:color="CCCCCC" w:sz="1"/>
            </w:tcBorders>
            <w:shd w:fill="DFF6DD" w:val="clear"/>
            <w:tcMar>
              <w:top w:type="dxa" w:w="80"/>
              <w:left w:type="dxa" w:w="120"/>
              <w:bottom w:type="dxa" w:w="80"/>
              <w:right w:type="dxa" w:w="120"/>
            </w:tcMar>
          </w:tcPr>
          <w:p>
            <w:r>
              <w:rPr>
                <w:rFonts w:ascii="Arial" w:cs="Arial" w:eastAsia="Arial" w:hAnsi="Arial"/>
                <w:b w:val="false"/>
                <w:bCs w:val="false"/>
                <w:color w:val="107C10"/>
                <w:sz w:val="18"/>
                <w:szCs w:val="18"/>
              </w:rPr>
              <w:t xml:space="preserve">$31,200/month (34% reduction)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Security Incidents (phishing/credential compromise)</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3 in 18 months</w:t>
            </w:r>
          </w:p>
        </w:tc>
        <w:tc>
          <w:tcPr>
            <w:tcW w:type="dxa" w:w="3380"/>
            <w:tcBorders>
              <w:top w:val="single" w:color="CCCCCC" w:sz="1"/>
              <w:left w:val="single" w:color="CCCCCC" w:sz="1"/>
              <w:bottom w:val="single" w:color="CCCCCC" w:sz="1"/>
              <w:right w:val="single" w:color="CCCCCC" w:sz="1"/>
            </w:tcBorders>
            <w:shd w:fill="DFF6DD" w:val="clear"/>
            <w:tcMar>
              <w:top w:type="dxa" w:w="80"/>
              <w:left w:type="dxa" w:w="120"/>
              <w:bottom w:type="dxa" w:w="80"/>
              <w:right w:type="dxa" w:w="120"/>
            </w:tcMar>
          </w:tcPr>
          <w:p>
            <w:r>
              <w:rPr>
                <w:rFonts w:ascii="Arial" w:cs="Arial" w:eastAsia="Arial" w:hAnsi="Arial"/>
                <w:b w:val="false"/>
                <w:bCs w:val="false"/>
                <w:color w:val="107C10"/>
                <w:sz w:val="18"/>
                <w:szCs w:val="18"/>
              </w:rPr>
              <w:t xml:space="preserve">0 in first 12 months post-migration</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MFA Coverage (% of users)</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0%</w:t>
            </w:r>
          </w:p>
        </w:tc>
        <w:tc>
          <w:tcPr>
            <w:tcW w:type="dxa" w:w="3380"/>
            <w:tcBorders>
              <w:top w:val="single" w:color="CCCCCC" w:sz="1"/>
              <w:left w:val="single" w:color="CCCCCC" w:sz="1"/>
              <w:bottom w:val="single" w:color="CCCCCC" w:sz="1"/>
              <w:right w:val="single" w:color="CCCCCC" w:sz="1"/>
            </w:tcBorders>
            <w:shd w:fill="DFF6DD" w:val="clear"/>
            <w:tcMar>
              <w:top w:type="dxa" w:w="80"/>
              <w:left w:type="dxa" w:w="120"/>
              <w:bottom w:type="dxa" w:w="80"/>
              <w:right w:type="dxa" w:w="120"/>
            </w:tcMar>
          </w:tcPr>
          <w:p>
            <w:r>
              <w:rPr>
                <w:rFonts w:ascii="Arial" w:cs="Arial" w:eastAsia="Arial" w:hAnsi="Arial"/>
                <w:b w:val="false"/>
                <w:bCs w:val="false"/>
                <w:color w:val="107C10"/>
                <w:sz w:val="18"/>
                <w:szCs w:val="18"/>
              </w:rPr>
              <w:t xml:space="preserve">100% (850/850 users)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Microsoft Secure Score</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18 / 100</w:t>
            </w:r>
          </w:p>
        </w:tc>
        <w:tc>
          <w:tcPr>
            <w:tcW w:type="dxa" w:w="3380"/>
            <w:tcBorders>
              <w:top w:val="single" w:color="CCCCCC" w:sz="1"/>
              <w:left w:val="single" w:color="CCCCCC" w:sz="1"/>
              <w:bottom w:val="single" w:color="CCCCCC" w:sz="1"/>
              <w:right w:val="single" w:color="CCCCCC" w:sz="1"/>
            </w:tcBorders>
            <w:shd w:fill="DFF6DD" w:val="clear"/>
            <w:tcMar>
              <w:top w:type="dxa" w:w="80"/>
              <w:left w:type="dxa" w:w="120"/>
              <w:bottom w:type="dxa" w:w="80"/>
              <w:right w:type="dxa" w:w="120"/>
            </w:tcMar>
          </w:tcPr>
          <w:p>
            <w:r>
              <w:rPr>
                <w:rFonts w:ascii="Arial" w:cs="Arial" w:eastAsia="Arial" w:hAnsi="Arial"/>
                <w:b w:val="false"/>
                <w:bCs w:val="false"/>
                <w:color w:val="107C10"/>
                <w:sz w:val="18"/>
                <w:szCs w:val="18"/>
              </w:rPr>
              <w:t xml:space="preserve">74 / 100</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User Satisfaction Score (post-migration survey)</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N/A</w:t>
            </w:r>
          </w:p>
        </w:tc>
        <w:tc>
          <w:tcPr>
            <w:tcW w:type="dxa" w:w="3380"/>
            <w:tcBorders>
              <w:top w:val="single" w:color="CCCCCC" w:sz="1"/>
              <w:left w:val="single" w:color="CCCCCC" w:sz="1"/>
              <w:bottom w:val="single" w:color="CCCCCC" w:sz="1"/>
              <w:right w:val="single" w:color="CCCCCC" w:sz="1"/>
            </w:tcBorders>
            <w:shd w:fill="DFF6DD" w:val="clear"/>
            <w:tcMar>
              <w:top w:type="dxa" w:w="80"/>
              <w:left w:type="dxa" w:w="120"/>
              <w:bottom w:type="dxa" w:w="80"/>
              <w:right w:type="dxa" w:w="120"/>
            </w:tcMar>
          </w:tcPr>
          <w:p>
            <w:r>
              <w:rPr>
                <w:rFonts w:ascii="Arial" w:cs="Arial" w:eastAsia="Arial" w:hAnsi="Arial"/>
                <w:b w:val="false"/>
                <w:bCs w:val="false"/>
                <w:color w:val="107C10"/>
                <w:sz w:val="18"/>
                <w:szCs w:val="18"/>
              </w:rPr>
              <w:t xml:space="preserve">99.97% (848/850 positive responses)</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IT Team Time Spent on Infrastructure Maintenance</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~40% of bandwidth</w:t>
            </w:r>
          </w:p>
        </w:tc>
        <w:tc>
          <w:tcPr>
            <w:tcW w:type="dxa" w:w="3380"/>
            <w:tcBorders>
              <w:top w:val="single" w:color="CCCCCC" w:sz="1"/>
              <w:left w:val="single" w:color="CCCCCC" w:sz="1"/>
              <w:bottom w:val="single" w:color="CCCCCC" w:sz="1"/>
              <w:right w:val="single" w:color="CCCCCC" w:sz="1"/>
            </w:tcBorders>
            <w:shd w:fill="DFF6DD" w:val="clear"/>
            <w:tcMar>
              <w:top w:type="dxa" w:w="80"/>
              <w:left w:type="dxa" w:w="120"/>
              <w:bottom w:type="dxa" w:w="80"/>
              <w:right w:type="dxa" w:w="120"/>
            </w:tcMar>
          </w:tcPr>
          <w:p>
            <w:r>
              <w:rPr>
                <w:rFonts w:ascii="Arial" w:cs="Arial" w:eastAsia="Arial" w:hAnsi="Arial"/>
                <w:b w:val="false"/>
                <w:bCs w:val="false"/>
                <w:color w:val="107C10"/>
                <w:sz w:val="18"/>
                <w:szCs w:val="18"/>
              </w:rPr>
              <w:t xml:space="preserve">~8% of bandwidth</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Collaboration Tool Consolidation</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4 separate tools</w:t>
            </w:r>
          </w:p>
        </w:tc>
        <w:tc>
          <w:tcPr>
            <w:tcW w:type="dxa" w:w="3380"/>
            <w:tcBorders>
              <w:top w:val="single" w:color="CCCCCC" w:sz="1"/>
              <w:left w:val="single" w:color="CCCCCC" w:sz="1"/>
              <w:bottom w:val="single" w:color="CCCCCC" w:sz="1"/>
              <w:right w:val="single" w:color="CCCCCC" w:sz="1"/>
            </w:tcBorders>
            <w:shd w:fill="DFF6DD" w:val="clear"/>
            <w:tcMar>
              <w:top w:type="dxa" w:w="80"/>
              <w:left w:type="dxa" w:w="120"/>
              <w:bottom w:type="dxa" w:w="80"/>
              <w:right w:type="dxa" w:w="120"/>
            </w:tcMar>
          </w:tcPr>
          <w:p>
            <w:r>
              <w:rPr>
                <w:rFonts w:ascii="Arial" w:cs="Arial" w:eastAsia="Arial" w:hAnsi="Arial"/>
                <w:b w:val="false"/>
                <w:bCs w:val="false"/>
                <w:color w:val="107C10"/>
                <w:sz w:val="18"/>
                <w:szCs w:val="18"/>
              </w:rPr>
              <w:t xml:space="preserve">1 unified platform (Microsoft 365)</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Remote Access Without VPN</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Not available</w:t>
            </w:r>
          </w:p>
        </w:tc>
        <w:tc>
          <w:tcPr>
            <w:tcW w:type="dxa" w:w="3380"/>
            <w:tcBorders>
              <w:top w:val="single" w:color="CCCCCC" w:sz="1"/>
              <w:left w:val="single" w:color="CCCCCC" w:sz="1"/>
              <w:bottom w:val="single" w:color="CCCCCC" w:sz="1"/>
              <w:right w:val="single" w:color="CCCCCC" w:sz="1"/>
            </w:tcBorders>
            <w:shd w:fill="DFF6DD" w:val="clear"/>
            <w:tcMar>
              <w:top w:type="dxa" w:w="80"/>
              <w:left w:type="dxa" w:w="120"/>
              <w:bottom w:type="dxa" w:w="80"/>
              <w:right w:type="dxa" w:w="120"/>
            </w:tcMar>
          </w:tcPr>
          <w:p>
            <w:r>
              <w:rPr>
                <w:rFonts w:ascii="Arial" w:cs="Arial" w:eastAsia="Arial" w:hAnsi="Arial"/>
                <w:b w:val="false"/>
                <w:bCs w:val="false"/>
                <w:color w:val="107C10"/>
                <w:sz w:val="18"/>
                <w:szCs w:val="18"/>
              </w:rPr>
              <w:t xml:space="preserve">100% of M365 services accessible directly</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Email Storage Available Per User</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 GB (Exchange)</w:t>
            </w:r>
          </w:p>
        </w:tc>
        <w:tc>
          <w:tcPr>
            <w:tcW w:type="dxa" w:w="3380"/>
            <w:tcBorders>
              <w:top w:val="single" w:color="CCCCCC" w:sz="1"/>
              <w:left w:val="single" w:color="CCCCCC" w:sz="1"/>
              <w:bottom w:val="single" w:color="CCCCCC" w:sz="1"/>
              <w:right w:val="single" w:color="CCCCCC" w:sz="1"/>
            </w:tcBorders>
            <w:shd w:fill="DFF6DD" w:val="clear"/>
            <w:tcMar>
              <w:top w:type="dxa" w:w="80"/>
              <w:left w:type="dxa" w:w="120"/>
              <w:bottom w:type="dxa" w:w="80"/>
              <w:right w:type="dxa" w:w="120"/>
            </w:tcMar>
          </w:tcPr>
          <w:p>
            <w:r>
              <w:rPr>
                <w:rFonts w:ascii="Arial" w:cs="Arial" w:eastAsia="Arial" w:hAnsi="Arial"/>
                <w:b w:val="false"/>
                <w:bCs w:val="false"/>
                <w:color w:val="107C10"/>
                <w:sz w:val="18"/>
                <w:szCs w:val="18"/>
              </w:rPr>
              <w:t xml:space="preserve">100 GB + 1.5 TB archive (Exchange Online)</w:t>
            </w:r>
          </w:p>
        </w:tc>
      </w:tr>
      <w:tr>
        <w:tc>
          <w:tcPr>
            <w:tcW w:type="dxa" w:w="3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000000"/>
                <w:sz w:val="18"/>
                <w:szCs w:val="18"/>
              </w:rPr>
              <w:t xml:space="preserve">3-Year Infrastructure CapEx Avoided</w:t>
            </w:r>
          </w:p>
        </w:tc>
        <w:tc>
          <w:tcPr>
            <w:tcW w:type="dxa" w:w="23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$1,400,000 projected</w:t>
            </w:r>
          </w:p>
        </w:tc>
        <w:tc>
          <w:tcPr>
            <w:tcW w:type="dxa" w:w="3380"/>
            <w:tcBorders>
              <w:top w:val="single" w:color="CCCCCC" w:sz="1"/>
              <w:left w:val="single" w:color="CCCCCC" w:sz="1"/>
              <w:bottom w:val="single" w:color="CCCCCC" w:sz="1"/>
              <w:right w:val="single" w:color="CCCCCC" w:sz="1"/>
            </w:tcBorders>
            <w:shd w:fill="DFF6DD" w:val="clear"/>
            <w:tcMar>
              <w:top w:type="dxa" w:w="80"/>
              <w:left w:type="dxa" w:w="120"/>
              <w:bottom w:type="dxa" w:w="80"/>
              <w:right w:type="dxa" w:w="120"/>
            </w:tcMar>
          </w:tcPr>
          <w:p>
            <w:r>
              <w:rPr>
                <w:rFonts w:ascii="Arial" w:cs="Arial" w:eastAsia="Arial" w:hAnsi="Arial"/>
                <w:b w:val="false"/>
                <w:bCs w:val="false"/>
                <w:color w:val="107C10"/>
                <w:sz w:val="18"/>
                <w:szCs w:val="18"/>
              </w:rPr>
              <w:t xml:space="preserve">$0 (fully cloud)</w:t>
            </w:r>
          </w:p>
        </w:tc>
      </w:tr>
    </w:tbl>
    <w:p>
      <w:pPr>
        <w:spacing w:before="80" w:after="0"/>
      </w:pPr>
      <w:r>
        <w:t xml:space="preserve"/>
      </w:r>
    </w:p>
    <w:p>
      <w:pPr>
        <w:pStyle w:val="Heading2"/>
        <w:spacing w:before="240" w:after="100"/>
      </w:pPr>
      <w:r>
        <w:rPr>
          <w:rFonts w:ascii="Arial" w:cs="Arial" w:eastAsia="Arial" w:hAnsi="Arial"/>
          <w:b/>
          <w:bCs/>
          <w:color w:val="1A1A2E"/>
          <w:sz w:val="26"/>
          <w:szCs w:val="26"/>
        </w:rPr>
        <w:t xml:space="preserve">9.2 Qualitative Outcomes</w:t>
      </w:r>
    </w:p>
    <w:p>
      <w:pPr>
        <w:pStyle w:val="ListParagraph"/>
        <w:numPr>
          <w:ilvl w:val="0"/>
          <w:numId w:val="2"/>
        </w:numPr>
        <w:spacing w:before="40" w:after="40"/>
      </w:pPr>
      <w:r>
        <w:rPr>
          <w:rFonts w:ascii="Arial" w:cs="Arial" w:eastAsia="Arial" w:hAnsi="Arial"/>
          <w:color w:val="000000"/>
          <w:sz w:val="22"/>
          <w:szCs w:val="22"/>
        </w:rPr>
        <w:t xml:space="preserve">Executive leadership reported significantly improved confidence in data security and compliance posture — ISO 27001 re-audit passed with zero non-conformances related to IT infrastructure.</w:t>
      </w:r>
    </w:p>
    <w:p>
      <w:pPr>
        <w:pStyle w:val="ListParagraph"/>
        <w:numPr>
          <w:ilvl w:val="0"/>
          <w:numId w:val="2"/>
        </w:numPr>
        <w:spacing w:before="40" w:after="40"/>
      </w:pPr>
      <w:r>
        <w:rPr>
          <w:rFonts w:ascii="Arial" w:cs="Arial" w:eastAsia="Arial" w:hAnsi="Arial"/>
          <w:color w:val="000000"/>
          <w:sz w:val="22"/>
          <w:szCs w:val="22"/>
        </w:rPr>
        <w:t xml:space="preserve">The IT team pivoted from reactive infrastructure maintenance to proactive strategic projects within 60 days of migration completion, including an AI/Copilot evaluation and a Power Platform automation initiative.</w:t>
      </w:r>
    </w:p>
    <w:p>
      <w:pPr>
        <w:pStyle w:val="ListParagraph"/>
        <w:numPr>
          <w:ilvl w:val="0"/>
          <w:numId w:val="2"/>
        </w:numPr>
        <w:spacing w:before="40" w:after="40"/>
      </w:pPr>
      <w:r>
        <w:rPr>
          <w:rFonts w:ascii="Arial" w:cs="Arial" w:eastAsia="Arial" w:hAnsi="Arial"/>
          <w:color w:val="000000"/>
          <w:sz w:val="22"/>
          <w:szCs w:val="22"/>
        </w:rPr>
        <w:t xml:space="preserve">Remote and hybrid workers in London, New York, Singapore, and Sydney reported a transformative improvement in collaboration quality, citing Teams as a direct replacement for three previously fragmented tools.</w:t>
      </w:r>
    </w:p>
    <w:p>
      <w:pPr>
        <w:pStyle w:val="ListParagraph"/>
        <w:numPr>
          <w:ilvl w:val="0"/>
          <w:numId w:val="2"/>
        </w:numPr>
        <w:spacing w:before="40" w:after="40"/>
      </w:pPr>
      <w:r>
        <w:rPr>
          <w:rFonts w:ascii="Arial" w:cs="Arial" w:eastAsia="Arial" w:hAnsi="Arial"/>
          <w:color w:val="000000"/>
          <w:sz w:val="22"/>
          <w:szCs w:val="22"/>
        </w:rPr>
        <w:t xml:space="preserve">Business continuity improved measurably: during a planned datacenter maintenance window in Week 20 post-migration, all 850 users continued working without interruption — previously this would have required a full email outage.</w:t>
      </w:r>
    </w:p>
    <w:p>
      <w:r>
        <w:br w:type="page"/>
      </w:r>
    </w:p>
    <w:p>
      <w:pPr>
        <w:pStyle w:val="Heading1"/>
        <w:pBdr>
          <w:bottom w:val="single" w:color="0078D4" w:sz="6" w:space="4"/>
        </w:pBdr>
        <w:spacing w:before="320" w:after="160"/>
      </w:pPr>
      <w:r>
        <w:rPr>
          <w:rFonts w:ascii="Arial" w:cs="Arial" w:eastAsia="Arial" w:hAnsi="Arial"/>
          <w:b/>
          <w:bCs/>
          <w:color w:val="0078D4"/>
          <w:sz w:val="32"/>
          <w:szCs w:val="32"/>
        </w:rPr>
        <w:t xml:space="preserve">10. Best Practices</w:t>
      </w:r>
    </w:p>
    <w:p>
      <w:pPr>
        <w:spacing w:before="60" w:after="0"/>
      </w:pPr>
      <w:r>
        <w:t xml:space="preserve"/>
      </w:r>
    </w:p>
    <w:p>
      <w:pPr>
        <w:pStyle w:val="Heading2"/>
        <w:spacing w:before="240" w:after="100"/>
      </w:pPr>
      <w:r>
        <w:rPr>
          <w:rFonts w:ascii="Arial" w:cs="Arial" w:eastAsia="Arial" w:hAnsi="Arial"/>
          <w:b/>
          <w:bCs/>
          <w:color w:val="1A1A2E"/>
          <w:sz w:val="26"/>
          <w:szCs w:val="26"/>
        </w:rPr>
        <w:t xml:space="preserve">10.1 Security Best Practices</w:t>
      </w:r>
    </w:p>
    <w:p>
      <w:pPr>
        <w:pStyle w:val="Heading3"/>
        <w:spacing w:before="180" w:after="80"/>
      </w:pPr>
      <w:r>
        <w:rPr>
          <w:rFonts w:ascii="Arial" w:cs="Arial" w:eastAsia="Arial" w:hAnsi="Arial"/>
          <w:b/>
          <w:bCs/>
          <w:color w:val="555555"/>
          <w:sz w:val="22"/>
          <w:szCs w:val="22"/>
        </w:rPr>
        <w:t xml:space="preserve">Multi-Factor Authentication (MFA)</w:t>
      </w:r>
    </w:p>
    <w:p>
      <w:pPr>
        <w:pStyle w:val="ListParagraph"/>
        <w:numPr>
          <w:ilvl w:val="0"/>
          <w:numId w:val="2"/>
        </w:numPr>
        <w:spacing w:before="40" w:after="40"/>
      </w:pPr>
      <w:r>
        <w:rPr>
          <w:rFonts w:ascii="Arial" w:cs="Arial" w:eastAsia="Arial" w:hAnsi="Arial"/>
          <w:color w:val="000000"/>
          <w:sz w:val="22"/>
          <w:szCs w:val="22"/>
        </w:rPr>
        <w:t xml:space="preserve">Never migrate a user's mailbox to Exchange Online without first confirming their MFA registration is complete. Use the MFA audit script in Section 5.4.</w:t>
      </w:r>
    </w:p>
    <w:p>
      <w:pPr>
        <w:pStyle w:val="ListParagraph"/>
        <w:numPr>
          <w:ilvl w:val="0"/>
          <w:numId w:val="2"/>
        </w:numPr>
        <w:spacing w:before="40" w:after="40"/>
      </w:pPr>
      <w:r>
        <w:rPr>
          <w:rFonts w:ascii="Arial" w:cs="Arial" w:eastAsia="Arial" w:hAnsi="Arial"/>
          <w:color w:val="000000"/>
          <w:sz w:val="22"/>
          <w:szCs w:val="22"/>
        </w:rPr>
        <w:t xml:space="preserve">Use number matching in Microsoft Authenticator (enabled by default from May 2023) to prevent MFA fatigue attacks.</w:t>
      </w:r>
    </w:p>
    <w:p>
      <w:pPr>
        <w:pStyle w:val="ListParagraph"/>
        <w:numPr>
          <w:ilvl w:val="0"/>
          <w:numId w:val="2"/>
        </w:numPr>
        <w:spacing w:before="40" w:after="40"/>
      </w:pPr>
      <w:r>
        <w:rPr>
          <w:rFonts w:ascii="Arial" w:cs="Arial" w:eastAsia="Arial" w:hAnsi="Arial"/>
          <w:color w:val="000000"/>
          <w:sz w:val="22"/>
          <w:szCs w:val="22"/>
        </w:rPr>
        <w:t xml:space="preserve">Deploy Temporary Access Passes (TAP) for users who lose their authenticator device — do not reset MFA directly.</w:t>
      </w:r>
    </w:p>
    <w:p>
      <w:pPr>
        <w:spacing w:before="40" w:after="0"/>
      </w:pPr>
      <w:r>
        <w:t xml:space="preserve"/>
      </w:r>
    </w:p>
    <w:p>
      <w:pPr>
        <w:pStyle w:val="Heading3"/>
        <w:spacing w:before="180" w:after="80"/>
      </w:pPr>
      <w:r>
        <w:rPr>
          <w:rFonts w:ascii="Arial" w:cs="Arial" w:eastAsia="Arial" w:hAnsi="Arial"/>
          <w:b/>
          <w:bCs/>
          <w:color w:val="555555"/>
          <w:sz w:val="22"/>
          <w:szCs w:val="22"/>
        </w:rPr>
        <w:t xml:space="preserve">Conditional Access</w:t>
      </w:r>
    </w:p>
    <w:p>
      <w:pPr>
        <w:pStyle w:val="ListParagraph"/>
        <w:numPr>
          <w:ilvl w:val="0"/>
          <w:numId w:val="2"/>
        </w:numPr>
        <w:spacing w:before="40" w:after="40"/>
      </w:pPr>
      <w:r>
        <w:rPr>
          <w:rFonts w:ascii="Arial" w:cs="Arial" w:eastAsia="Arial" w:hAnsi="Arial"/>
          <w:color w:val="000000"/>
          <w:sz w:val="22"/>
          <w:szCs w:val="22"/>
        </w:rPr>
        <w:t xml:space="preserve">Require MFA for all users, all apps — no exceptions except break-glass accounts.</w:t>
      </w:r>
    </w:p>
    <w:p>
      <w:pPr>
        <w:pStyle w:val="ListParagraph"/>
        <w:numPr>
          <w:ilvl w:val="0"/>
          <w:numId w:val="2"/>
        </w:numPr>
        <w:spacing w:before="40" w:after="40"/>
      </w:pPr>
      <w:r>
        <w:rPr>
          <w:rFonts w:ascii="Arial" w:cs="Arial" w:eastAsia="Arial" w:hAnsi="Arial"/>
          <w:color w:val="000000"/>
          <w:sz w:val="22"/>
          <w:szCs w:val="22"/>
        </w:rPr>
        <w:t xml:space="preserve">Require compliant or hybrid-joined device for access to SharePoint and Exchange Online from unmanaged devices.</w:t>
      </w:r>
    </w:p>
    <w:p>
      <w:pPr>
        <w:pStyle w:val="ListParagraph"/>
        <w:numPr>
          <w:ilvl w:val="0"/>
          <w:numId w:val="2"/>
        </w:numPr>
        <w:spacing w:before="40" w:after="40"/>
      </w:pPr>
      <w:r>
        <w:rPr>
          <w:rFonts w:ascii="Arial" w:cs="Arial" w:eastAsia="Arial" w:hAnsi="Arial"/>
          <w:color w:val="000000"/>
          <w:sz w:val="22"/>
          <w:szCs w:val="22"/>
        </w:rPr>
        <w:t xml:space="preserve">Block legacy authentication protocols immediately after confirming no applications depend on Basic Auth — this is the single most impactful security control in M365.</w:t>
      </w:r>
    </w:p>
    <w:p>
      <w:pPr>
        <w:spacing w:before="40" w:after="40"/>
        <w:ind w:left="360"/>
      </w:pPr>
      <w:r>
        <w:rPr>
          <w:rFonts w:ascii="Courier New" w:cs="Courier New" w:eastAsia="Courier New" w:hAnsi="Courier New"/>
          <w:color w:val="C7254E"/>
          <w:sz w:val="18"/>
          <w:szCs w:val="18"/>
        </w:rPr>
        <w:t xml:space="preserve">New-AzureADMSConditionalAccessPolicy -DisplayName 'Block Legacy Auth' -State enabled</w:t>
      </w:r>
    </w:p>
    <w:p>
      <w:pPr>
        <w:pStyle w:val="ListParagraph"/>
        <w:numPr>
          <w:ilvl w:val="0"/>
          <w:numId w:val="2"/>
        </w:numPr>
        <w:spacing w:before="40" w:after="40"/>
      </w:pPr>
      <w:r>
        <w:rPr>
          <w:rFonts w:ascii="Arial" w:cs="Arial" w:eastAsia="Arial" w:hAnsi="Arial"/>
          <w:color w:val="000000"/>
          <w:sz w:val="22"/>
          <w:szCs w:val="22"/>
        </w:rPr>
        <w:t xml:space="preserve">Configure Sign-In Risk Policy (Identity Protection): if sign-in risk is High, require MFA re-authentication or block access.</w:t>
      </w:r>
    </w:p>
    <w:p>
      <w:pPr>
        <w:spacing w:before="40" w:after="0"/>
      </w:pPr>
      <w:r>
        <w:t xml:space="preserve"/>
      </w:r>
    </w:p>
    <w:p>
      <w:pPr>
        <w:pStyle w:val="Heading2"/>
        <w:spacing w:before="240" w:after="100"/>
      </w:pPr>
      <w:r>
        <w:rPr>
          <w:rFonts w:ascii="Arial" w:cs="Arial" w:eastAsia="Arial" w:hAnsi="Arial"/>
          <w:b/>
          <w:bCs/>
          <w:color w:val="1A1A2E"/>
          <w:sz w:val="26"/>
          <w:szCs w:val="26"/>
        </w:rPr>
        <w:t xml:space="preserve">10.2 Backup &amp; Data Protection</w:t>
      </w:r>
    </w:p>
    <w:tbl>
      <w:tblPr>
        <w:tblW w:type="dxa" w:w="9360"/>
        <w:tblBorders>
          <w:top w:val="single" w:color="D1A000" w:sz="4"/>
          <w:left w:val="single" w:color="D1A000" w:sz="4"/>
          <w:bottom w:val="single" w:color="D1A000" w:sz="4"/>
          <w:right w:val="single" w:color="D1A000"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4CE" w:val="clear"/>
            <w:tcMar>
              <w:top w:type="dxa" w:w="80"/>
              <w:left w:type="dxa" w:w="200"/>
              <w:bottom w:type="dxa" w:w="80"/>
              <w:right w:type="dxa" w:w="200"/>
            </w:tcMar>
          </w:tcPr>
          <w:p/>
        </w:tc>
      </w:tr>
    </w:tbl>
    <w:p>
      <w:pPr>
        <w:spacing w:before="40" w:after="0"/>
      </w:pPr>
      <w:r>
        <w:t xml:space="preserve"/>
      </w:r>
    </w:p>
    <w:p>
      <w:pPr>
        <w:pStyle w:val="ListParagraph"/>
        <w:numPr>
          <w:ilvl w:val="0"/>
          <w:numId w:val="2"/>
        </w:numPr>
        <w:spacing w:before="40" w:after="40"/>
      </w:pPr>
      <w:r>
        <w:rPr>
          <w:rFonts w:ascii="Arial" w:cs="Arial" w:eastAsia="Arial" w:hAnsi="Arial"/>
          <w:color w:val="000000"/>
          <w:sz w:val="22"/>
          <w:szCs w:val="22"/>
        </w:rPr>
        <w:t xml:space="preserve">Deploy a third-party Microsoft 365 backup solution (Veeam Backup for M365, AvePoint, or Druva) — capture daily backups of Exchange, SharePoint, OneDrive, and Teams.</w:t>
      </w:r>
    </w:p>
    <w:p>
      <w:pPr>
        <w:pStyle w:val="ListParagraph"/>
        <w:numPr>
          <w:ilvl w:val="0"/>
          <w:numId w:val="2"/>
        </w:numPr>
        <w:spacing w:before="40" w:after="40"/>
      </w:pPr>
      <w:r>
        <w:rPr>
          <w:rFonts w:ascii="Arial" w:cs="Arial" w:eastAsia="Arial" w:hAnsi="Arial"/>
          <w:color w:val="000000"/>
          <w:sz w:val="22"/>
          <w:szCs w:val="22"/>
        </w:rPr>
        <w:t xml:space="preserve">Retention policy is NOT a backup. Configure Microsoft 365 Purview retention policies (90-day + 7-year archive) for compliance, but maintain separate backup for operational recovery.</w:t>
      </w:r>
    </w:p>
    <w:p>
      <w:pPr>
        <w:pStyle w:val="ListParagraph"/>
        <w:numPr>
          <w:ilvl w:val="0"/>
          <w:numId w:val="2"/>
        </w:numPr>
        <w:spacing w:before="40" w:after="40"/>
      </w:pPr>
      <w:r>
        <w:rPr>
          <w:rFonts w:ascii="Arial" w:cs="Arial" w:eastAsia="Arial" w:hAnsi="Arial"/>
          <w:color w:val="000000"/>
          <w:sz w:val="22"/>
          <w:szCs w:val="22"/>
        </w:rPr>
        <w:t xml:space="preserve">Test restore quarterly — document the procedure and verify that IT staff can recover a deleted mailbox, a deleted site, and accidentally overwritten files without vendor assistance.</w:t>
      </w:r>
    </w:p>
    <w:p>
      <w:pPr>
        <w:spacing w:before="40" w:after="0"/>
      </w:pPr>
      <w:r>
        <w:t xml:space="preserve"/>
      </w:r>
    </w:p>
    <w:p>
      <w:pPr>
        <w:pStyle w:val="Heading2"/>
        <w:spacing w:before="240" w:after="100"/>
      </w:pPr>
      <w:r>
        <w:rPr>
          <w:rFonts w:ascii="Arial" w:cs="Arial" w:eastAsia="Arial" w:hAnsi="Arial"/>
          <w:b/>
          <w:bCs/>
          <w:color w:val="1A1A2E"/>
          <w:sz w:val="26"/>
          <w:szCs w:val="26"/>
        </w:rPr>
        <w:t xml:space="preserve">10.3 Governance</w:t>
      </w:r>
    </w:p>
    <w:p>
      <w:pPr>
        <w:pStyle w:val="ListParagraph"/>
        <w:numPr>
          <w:ilvl w:val="0"/>
          <w:numId w:val="2"/>
        </w:numPr>
        <w:spacing w:before="40" w:after="40"/>
      </w:pPr>
      <w:r>
        <w:rPr>
          <w:rFonts w:ascii="Arial" w:cs="Arial" w:eastAsia="Arial" w:hAnsi="Arial"/>
          <w:color w:val="000000"/>
          <w:sz w:val="22"/>
          <w:szCs w:val="22"/>
        </w:rPr>
        <w:t xml:space="preserve">Establish an M365 Governance Committee (IT + Legal + HR + Finance representation) meeting monthly to review: new feature rollouts, external sharing reports, DLP policy effectiveness, and Microsoft Secure Score trends.</w:t>
      </w:r>
    </w:p>
    <w:p>
      <w:pPr>
        <w:pStyle w:val="ListParagraph"/>
        <w:numPr>
          <w:ilvl w:val="0"/>
          <w:numId w:val="2"/>
        </w:numPr>
        <w:spacing w:before="40" w:after="40"/>
      </w:pPr>
      <w:r>
        <w:rPr>
          <w:rFonts w:ascii="Arial" w:cs="Arial" w:eastAsia="Arial" w:hAnsi="Arial"/>
          <w:color w:val="000000"/>
          <w:sz w:val="22"/>
          <w:szCs w:val="22"/>
        </w:rPr>
        <w:t xml:space="preserve">Document and enforce a SharePoint site provisioning policy: no self-service site creation. All new sites go through an approval workflow in Power Automate.</w:t>
      </w:r>
    </w:p>
    <w:p>
      <w:pPr>
        <w:pStyle w:val="ListParagraph"/>
        <w:numPr>
          <w:ilvl w:val="0"/>
          <w:numId w:val="2"/>
        </w:numPr>
        <w:spacing w:before="40" w:after="40"/>
      </w:pPr>
      <w:r>
        <w:rPr>
          <w:rFonts w:ascii="Arial" w:cs="Arial" w:eastAsia="Arial" w:hAnsi="Arial"/>
          <w:color w:val="000000"/>
          <w:sz w:val="22"/>
          <w:szCs w:val="22"/>
        </w:rPr>
        <w:t xml:space="preserve">Review Microsoft 365 Message Center weekly. Subscribe key IT staff to Microsoft 365 Roadmap (https://www.microsoft.com/en-us/microsoft-365/roadmap) to anticipate feature changes.</w:t>
      </w:r>
    </w:p>
    <w:p>
      <w:pPr>
        <w:pStyle w:val="ListParagraph"/>
        <w:numPr>
          <w:ilvl w:val="0"/>
          <w:numId w:val="2"/>
        </w:numPr>
        <w:spacing w:before="40" w:after="40"/>
      </w:pPr>
      <w:r>
        <w:rPr>
          <w:rFonts w:ascii="Arial" w:cs="Arial" w:eastAsia="Arial" w:hAnsi="Arial"/>
          <w:color w:val="000000"/>
          <w:sz w:val="22"/>
          <w:szCs w:val="22"/>
        </w:rPr>
        <w:t xml:space="preserve">Perform quarterly access reviews: review all Guest accounts in Azure AD, all external sharing links in SharePoint, and all admin role assignments. Remove unnecessary access immediately.</w:t>
      </w:r>
    </w:p>
    <w:p>
      <w:pPr>
        <w:pStyle w:val="ListParagraph"/>
        <w:numPr>
          <w:ilvl w:val="0"/>
          <w:numId w:val="2"/>
        </w:numPr>
        <w:spacing w:before="40" w:after="40"/>
      </w:pPr>
      <w:r>
        <w:rPr>
          <w:rFonts w:ascii="Arial" w:cs="Arial" w:eastAsia="Arial" w:hAnsi="Arial"/>
          <w:color w:val="000000"/>
          <w:sz w:val="22"/>
          <w:szCs w:val="22"/>
        </w:rPr>
        <w:t xml:space="preserve">Enable Privileged Identity Management (PIM) for all Global Administrator and Exchange Administrator roles — no permanently active admin accounts except break-glass.</w:t>
      </w:r>
    </w:p>
    <w:p>
      <w:pPr>
        <w:spacing w:before="40" w:after="0"/>
      </w:pPr>
      <w:r>
        <w:t xml:space="preserve"/>
      </w:r>
    </w:p>
    <w:p>
      <w:pPr>
        <w:pStyle w:val="Heading2"/>
        <w:spacing w:before="240" w:after="100"/>
      </w:pPr>
      <w:r>
        <w:rPr>
          <w:rFonts w:ascii="Arial" w:cs="Arial" w:eastAsia="Arial" w:hAnsi="Arial"/>
          <w:b/>
          <w:bCs/>
          <w:color w:val="1A1A2E"/>
          <w:sz w:val="26"/>
          <w:szCs w:val="26"/>
        </w:rPr>
        <w:t xml:space="preserve">10.4 Lessons Learned from This Engagement</w:t>
      </w:r>
    </w:p>
    <w:p>
      <w:pPr>
        <w:pStyle w:val="ListParagraph"/>
        <w:numPr>
          <w:ilvl w:val="0"/>
          <w:numId w:val="2"/>
        </w:numPr>
        <w:spacing w:before="40" w:after="40"/>
      </w:pPr>
      <w:r>
        <w:rPr>
          <w:rFonts w:ascii="Arial" w:cs="Arial" w:eastAsia="Arial" w:hAnsi="Arial"/>
          <w:color w:val="000000"/>
          <w:sz w:val="22"/>
          <w:szCs w:val="22"/>
        </w:rPr>
        <w:t xml:space="preserve">Run IdFix before running Azure AD Connect — every time. Dirty directory data is the single most common cause of hybrid configuration failures.</w:t>
      </w:r>
    </w:p>
    <w:p>
      <w:pPr>
        <w:pStyle w:val="ListParagraph"/>
        <w:numPr>
          <w:ilvl w:val="0"/>
          <w:numId w:val="2"/>
        </w:numPr>
        <w:spacing w:before="40" w:after="40"/>
      </w:pPr>
      <w:r>
        <w:rPr>
          <w:rFonts w:ascii="Arial" w:cs="Arial" w:eastAsia="Arial" w:hAnsi="Arial"/>
          <w:color w:val="000000"/>
          <w:sz w:val="22"/>
          <w:szCs w:val="22"/>
        </w:rPr>
        <w:t xml:space="preserve">Reduce DNS TTL to 300 seconds at least 48 hours before any DNS change — do not leave this until the migration weekend.</w:t>
      </w:r>
    </w:p>
    <w:p>
      <w:pPr>
        <w:pStyle w:val="ListParagraph"/>
        <w:numPr>
          <w:ilvl w:val="0"/>
          <w:numId w:val="2"/>
        </w:numPr>
        <w:spacing w:before="40" w:after="40"/>
      </w:pPr>
      <w:r>
        <w:rPr>
          <w:rFonts w:ascii="Arial" w:cs="Arial" w:eastAsia="Arial" w:hAnsi="Arial"/>
          <w:color w:val="000000"/>
          <w:sz w:val="22"/>
          <w:szCs w:val="22"/>
        </w:rPr>
        <w:t xml:space="preserve">Pilot with a representative sample: include at least one VIP user, one shared mailbox heavy user, one remote office user, and one user with a mobile device in every pilot batch.</w:t>
      </w:r>
    </w:p>
    <w:p>
      <w:pPr>
        <w:pStyle w:val="ListParagraph"/>
        <w:numPr>
          <w:ilvl w:val="0"/>
          <w:numId w:val="2"/>
        </w:numPr>
        <w:spacing w:before="40" w:after="40"/>
      </w:pPr>
      <w:r>
        <w:rPr>
          <w:rFonts w:ascii="Arial" w:cs="Arial" w:eastAsia="Arial" w:hAnsi="Arial"/>
          <w:color w:val="000000"/>
          <w:sz w:val="22"/>
          <w:szCs w:val="22"/>
        </w:rPr>
        <w:t xml:space="preserve">Never rush the closeout phase. The 30-day Exchange coexistence hold after the last mailbox moves is non-negotiable. Decommissioning Exchange prematurely causes mail-flow failures that are difficult to remediate.</w:t>
      </w:r>
    </w:p>
    <w:p>
      <w:pPr>
        <w:pStyle w:val="ListParagraph"/>
        <w:numPr>
          <w:ilvl w:val="0"/>
          <w:numId w:val="2"/>
        </w:numPr>
        <w:spacing w:before="40" w:after="40"/>
      </w:pPr>
      <w:r>
        <w:rPr>
          <w:rFonts w:ascii="Arial" w:cs="Arial" w:eastAsia="Arial" w:hAnsi="Arial"/>
          <w:color w:val="000000"/>
          <w:sz w:val="22"/>
          <w:szCs w:val="22"/>
        </w:rPr>
        <w:t xml:space="preserve">Measure adoption, not just completion. A migration that technically succeeds but results in users avoiding Microsoft 365 tools and reverting to personal Dropbox/Gmail accounts has failed from a business perspective.</w:t>
      </w:r>
    </w:p>
    <w:p>
      <w:r>
        <w:br w:type="page"/>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78D4" w:sz="4" w:space="4"/>
      </w:pBdr>
      <w:tabs>
        <w:tab w:val="right" w:pos="9360"/>
      </w:tabs>
      <w:spacing w:before="80" w:after="0"/>
    </w:pPr>
    <w:r>
      <w:rPr>
        <w:rFonts w:ascii="Arial" w:cs="Arial" w:eastAsia="Arial" w:hAnsi="Arial"/>
        <w:color w:val="555555"/>
        <w:sz w:val="18"/>
        <w:szCs w:val="18"/>
      </w:rPr>
      <w:t xml:space="preserve">Cloud Engineering Practice  |  Enterprise M365 Migration</w:t>
    </w:r>
    <w:r>
      <w:rPr>
        <w:rFonts w:ascii="Arial" w:cs="Arial" w:eastAsia="Arial" w:hAnsi="Arial"/>
        <w:color w:val="555555"/>
        <w:sz w:val="18"/>
        <w:szCs w:val="18"/>
      </w:rPr>
      <w:t xml:space="preserve">	Page </w:t>
    </w:r>
    <w:fldSimple w:instr="PAG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78D4" w:sz="4" w:space="4"/>
      </w:pBdr>
      <w:spacing w:before="0" w:after="80"/>
    </w:pPr>
    <w:r>
      <w:rPr>
        <w:rFonts w:ascii="Arial" w:cs="Arial" w:eastAsia="Arial" w:hAnsi="Arial"/>
        <w:color w:val="555555"/>
        <w:sz w:val="18"/>
        <w:szCs w:val="18"/>
      </w:rPr>
      <w:t xml:space="preserve">Microsoft 365 Migration Project — Meridian Global Services</w:t>
    </w:r>
    <w:r>
      <w:rPr>
        <w:rFonts w:ascii="Arial" w:cs="Arial" w:eastAsia="Arial" w:hAnsi="Arial"/>
        <w:b/>
        <w:bCs/>
        <w:color w:val="D83B01"/>
        <w:sz w:val="18"/>
        <w:szCs w:val="18"/>
      </w:rPr>
      <w:t xml:space="preserve">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Jc w:val="left"/>
      <w:pPr>
        <w:ind w:left="360" w:hanging="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0078D4"/>
      <w:sz w:val="32"/>
      <w:szCs w:val="32"/>
    </w:rPr>
  </w:style>
  <w:style w:type="paragraph" w:styleId="Heading2">
    <w:name w:val="Heading 2"/>
    <w:basedOn w:val="Normal"/>
    <w:next w:val="Normal"/>
    <w:qFormat/>
    <w:pPr>
      <w:spacing w:before="240" w:after="100"/>
      <w:outlineLvl w:val="1"/>
    </w:pPr>
    <w:rPr>
      <w:rFonts w:ascii="Arial" w:cs="Arial" w:eastAsia="Arial" w:hAnsi="Arial"/>
      <w:b/>
      <w:bCs/>
      <w:color w:val="1A1A2E"/>
      <w:sz w:val="26"/>
      <w:szCs w:val="26"/>
    </w:rPr>
  </w:style>
  <w:style w:type="paragraph" w:styleId="Heading3">
    <w:name w:val="Heading 3"/>
    <w:basedOn w:val="Normal"/>
    <w:next w:val="Normal"/>
    <w:qFormat/>
    <w:pPr>
      <w:spacing w:before="180" w:after="8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2026-03-19T09:10:42.342Z</dcterms:created>
  <dcterms:modified xsi:type="dcterms:W3CDTF">2026-03-19T09:10:42.343Z</dcterms:modified>
</cp:coreProperties>
</file>

<file path=docProps/custom.xml><?xml version="1.0" encoding="utf-8"?>
<Properties xmlns="http://schemas.openxmlformats.org/officeDocument/2006/custom-properties" xmlns:vt="http://schemas.openxmlformats.org/officeDocument/2006/docPropsVTypes"/>
</file>