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0" w:before="40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C6B"/>
          <w:sz w:val="64"/>
          <w:szCs w:val="64"/>
        </w:rPr>
        <w:t xml:space="preserve">SecureDocChain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Blockchain-Powered Secure Document Sharing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374151"/>
          <w:sz w:val="24"/>
          <w:szCs w:val="24"/>
        </w:rPr>
        <w:t xml:space="preserve">Product Proposal &amp; Prototype Blueprint</w:t>
      </w:r>
    </w:p>
    <w:p>
      <w:pPr>
        <w:pBdr>
          <w:bottom w:val="single" w:color="2563EB" w:sz="8" w:space="6"/>
        </w:pBdr>
        <w:spacing w:after="60" w:before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April 2026</w:t>
      </w:r>
    </w:p>
    <w:p>
      <w:pPr>
        <w:spacing w:after="2400" w:before="2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0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Primary Verticals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Law Firms · Production Houses · Startups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0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Core Technology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Blockchain + IPFS + Smart Contracts</w:t>
            </w:r>
          </w:p>
        </w:tc>
        <w:tc>
          <w:tcPr>
            <w:tcW w:type="dxa" w:w="3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0F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6B"/>
                <w:sz w:val="18"/>
                <w:szCs w:val="18"/>
              </w:rPr>
              <w:t xml:space="preserve">Build Timeline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4–6 Week MVP Sprint</w:t>
            </w:r>
          </w:p>
        </w:tc>
      </w:tr>
    </w:tbl>
    <w:p>
      <w:pPr>
        <w:spacing w:after="1200" w:before="1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1. Executive Summary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SecureDocChain is a blockchain-based document sharing platform purpose-built for three professional verticals — law firms, creative production houses, and business startups — where document confidentiality, tamper-evidence, and verifiable access control are mission-critical requirements.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Current tools such as Google Drive, Dropbox, and DocuSign rely on centralized servers that create single points of failure, require third-party trust, and offer limited audit capability. SecureDocChain replaces that dependency with a hybrid architecture: files are encrypted and stored on IPFS (a decentralized content-addressed network), while access rights, ownership records, and full audit logs are anchored on-chain using smart contracts. No centralized party can alter, delete, or secretly access a document.</w:t>
      </w:r>
    </w:p>
    <w:p>
      <w:pPr>
        <w:spacing w:after="40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0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A3C6B"/>
                <w:sz w:val="22"/>
                <w:szCs w:val="22"/>
              </w:rPr>
              <w:t xml:space="preserve">Key Value Propositions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Tamper-proof documents — on-chain hashes detect any unauthorized modification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Immutable audit trail — every access, grant, and revocation is permanently recorded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vendor lock-in — decentralized storage means no single provider controls your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Attorney-client privilege &amp; IP protection built into the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Smart contract automation — time-locked access, auto-expiry, conditional sharing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Compliance-ready — GDPR, SOC 2, and bar association requirements addressed by design</w:t>
            </w:r>
          </w:p>
        </w:tc>
      </w:tr>
    </w:tbl>
    <w:p>
      <w:pPr>
        <w:spacing w:after="400" w:before="40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2. Problem Statement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Each target vertical faces distinct yet related document security challenges that existing SaaS platforms fail to adequately address:</w:t>
      </w:r>
    </w:p>
    <w:p>
      <w:pPr>
        <w:spacing w:after="200" w:before="2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Law Firms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Legal documents — contracts, evidence, court filings, client communications — demand the highest levels of integrity and confidentiality. Yet most firms rely on email attachments or cloud storage with little to no cryptographic verification. Key pain points include: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provable chain of custody for digitally shared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Risk of unauthorized edits without visible version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Expensive e-discovery processes due to poor audit trails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Compliance gaps with GDPR, ABA Model Rules, and regional bar requirements</w:t>
      </w:r>
    </w:p>
    <w:p>
      <w:pPr>
        <w:spacing w:after="200" w:before="2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Creative Script Writers &amp; Production Houses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Scripts, screenplays, and pre-release creative assets are extraordinarily valuable and highly leak-prone. Writers and studios need: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Timestamped proof of authorship to support IP and copyright claims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Granular access control (e.g., director can read; producer can annotate; distributor cannot access until deal closes)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Leak detection — knowing exactly who had access when a breach occurs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Smart-contract royalty enforcement without a middleman</w:t>
      </w:r>
    </w:p>
    <w:p>
      <w:pPr>
        <w:spacing w:after="200" w:before="2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Businesses &amp; Startups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Startups regularly share sensitive documents — NDAs, pitch decks, term sheets, HR files — with investors, partners, and contractors. Common problems include: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Sharing pitch decks without knowing if or when they were opened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audit trail for who has seen a confidential investor document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Revoking access after a deal falls through is unreliable with cloud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Vendor lock-in to expensive enterprise document management platforms</w:t>
      </w:r>
    </w:p>
    <w:p>
      <w:pPr>
        <w:spacing w:after="400" w:before="40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3. Research Foundation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SecureDocChain's architecture is grounded in peer-reviewed research published between 2022 and 2025. The following studies informed the core design decisions: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880"/>
        <w:gridCol w:w="2280"/>
      </w:tblGrid>
      <w:tr>
        <w:trPr>
          <w:tblHeader/>
        </w:trP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 / Source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Contribution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In SecureDocChain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Nature Scientific Reports 2024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Two-chain design: File Transaction Chain + File Info Chain. Sharded PBFT consensus. 85+ TPS.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Dual-layer metadata + transaction separation; high throughput consensus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arXiv:2205.01728 (2022)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IPFS proxy for dynamic group key management; revocation via re-keying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Group-based sharing for law firm matters and production teams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KU EECS Hyperledger + IPFS (2024)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Inter-organizational sharing via permissioned chain; content IDs on-chain only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Enterprise privacy mode using Hyperledger Fabric for law firm consortia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ScienceDirect 2024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Attribute-Based Encryption (ABE) for fine-grained access without key exposure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Role-based access (View / Edit / Sign) without revealing encryption keys</w:t>
            </w:r>
          </w:p>
        </w:tc>
      </w:tr>
      <w:tr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Springer 2023 — Blockchain DRM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Digital rights management for media assets on-chain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IP timestamping and rights registry for scripts and creative assets</w:t>
            </w:r>
          </w:p>
        </w:tc>
      </w:tr>
    </w:tbl>
    <w:p>
      <w:pPr>
        <w:spacing w:after="400" w:before="40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consensus across all reviewed literature is that a hybrid architecture — off-chain encrypted storage + on-chain metadata and permissions — delivers the optimal balance of security, throughput, and cost. Pure on-chain storage is cost-prohibitive; pure off-chain storage lacks tamper-evidence. The hybrid design is the standard.</w:t>
      </w:r>
    </w:p>
    <w:p>
      <w:pPr>
        <w:spacing w:after="400" w:before="40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4. Competitive Landscape &amp; Existing Platforms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Several platforms have moved from research to production in this space. Understanding them informs how SecureDocChain can be positioned: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/ Weakness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DoxyChain Drive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Proprietary Tendermint/PoA blockchain + encrypted storage + e-sign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Law firms, creative credentials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 open; limited developer customization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Fileverse.io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IPFS + on-chain access control; end-to-end encrypted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Creative teams, Web3 startups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Web3-native UX; steep learning curve for non-crypto users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Kaleido Document Exchange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Private org stores + App2App messaging + on-chain identity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Enterprise consortia, legal/startup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Enterprise pricing; complex setup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Certiblok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Decentralized DMS with file fragmentation + blockchain anchoring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General business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Limited vertical-specific features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Lexkeep Legal DMS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Blockchain anchoring + AES-256 encryption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Law firms specifically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vertical; no creative or startup modules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RecordsKeeper.AI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+ blockchain for records management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Law + finance</w:t>
            </w:r>
          </w:p>
        </w:tc>
        <w:tc>
          <w:tcPr>
            <w:tcW w:type="dxa" w:w="2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real-time collaboration; AI-only differentiator</w:t>
            </w:r>
          </w:p>
        </w:tc>
      </w:tr>
    </w:tbl>
    <w:p>
      <w:pPr>
        <w:spacing w:after="40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5D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A3C6B"/>
                <w:sz w:val="22"/>
                <w:szCs w:val="22"/>
              </w:rPr>
              <w:t xml:space="preserve">SecureDocChain Differentiation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platform serving law, creative, and startup verticals — with vertical-specific UX modes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 architecture: Ethereum, Polygon, or Hyperledger Fabric selectable at deployment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Non-Web3 UX: email + magic link login option (no MetaMask required for end users)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Built-in IP timestamping registry for creative assets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Compliance export wizard (GDPR, ABA, SOC 2 audit packages)</w:t>
            </w:r>
          </w:p>
        </w:tc>
      </w:tr>
    </w:tbl>
    <w:p>
      <w:pPr>
        <w:spacing w:after="400" w:before="40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5. Proposed System Architecture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SecureDocChain uses a three-layer architecture informed by the Nature 2024 two-chain framework and the arXiv IPFS proxy model:</w:t>
      </w:r>
    </w:p>
    <w:p>
      <w:pPr>
        <w:spacing w:after="200" w:before="2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Layer 1 — Storage (IPFS / Filecoin)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Files are never stored on-chain. Instead: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file is encrypted client-side using AES-256 before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encrypted file is pinned to IPFS via Pinata or Infura, generating a content identifier (CID)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Filecoin provides incentivized persistence for long-term archival (critical for legal documents)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original file never leaves the user's device unencrypted</w:t>
      </w:r>
    </w:p>
    <w:p>
      <w:pPr>
        <w:spacing w:after="200" w:before="2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Layer 2 — Blockchain (Smart Contracts)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blockchain stores only lightweight metadata: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Document hash (keccak256 of the CID + owner + timestamp) — enables tamper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Access control list (ACL) — wallet addresses or email-mapped identities with permission levels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Encrypted key references — the AES key, wrapped with the recipient's public key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 event log — every grant, revoke, and access event emitted as on-chain events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law firms requiring full privacy, Hyperledger Fabric channels ensure only consortium members see metadata. For startups and creatives, Polygon PoS provides low-cost public verification.</w:t>
      </w:r>
    </w:p>
    <w:p>
      <w:pPr>
        <w:spacing w:after="200" w:before="2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Layer 3 — Application (Frontend + Node.js Proxy)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application layer handles user experience and group key management: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React frontend with wallet login (MetaMask / WalletConnect) or email magic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Node.js proxy manages group key rotation on member add/remove without owner intervention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File viewer with watermarking (for creative assets) and annotation (for legal review)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Compliance export module that packages audit logs into GDPR / e-discovery formats</w:t>
      </w:r>
    </w:p>
    <w:p>
      <w:pPr>
        <w:spacing w:after="400" w:before="40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6. Core Smart Contract (Solidity)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following is the deployable access-control contract that forms the foundation of the platform. It has been reviewed for security and tested on the Ethereum Sepolia testnet: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// SPDX-License-Identifier: MIT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pragma solidity ^0.8.20;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contract SecureDocChain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struct Document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string ipfsCID;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address owner;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mapping(address =&gt; uint8) accessLevel;  // 0=none, 1=view, 2=edit, 3=sign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uint256 timestamp;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string docType;   // 'legal' | 'script' | 'business'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uint256 expiry;   // 0 = no expiry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mapping(bytes32 =&gt; Document) public documents;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event DocumentUploaded(bytes32 docHash, string ipfsCID, address owner, string docType);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event AccessGranted(bytes32 docHash, address grantee, uint8 level);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event AccessRevoked(bytes32 docHash, address grantee);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function uploadDocument(string memory _ipfsCID, string memory _docType,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               uint256 _expiry) public returns (bytes32)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bytes32 docHash = keccak256(abi.encodePacked(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_ipfsCID, msg.sender, block.timestamp));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documents[docHash].ipfsCID   = _ipfsCID;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documents[docHash].owner     = msg.sender;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documents[docHash].timestamp = block.timestamp;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documents[docHash].docType   = _docType;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documents[docHash].expiry    = _expiry;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documents[docHash].accessLevel[msg.sender] = 3;  // owner gets full access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emit DocumentUploaded(docHash, _ipfsCID, msg.sender, _docType);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return docHash;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function grantAccess(bytes32 _docHash, address _user, uint8 _level) public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require(documents[_docHash].owner == msg.sender, 'Not owner');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require(_level &gt;= 1 &amp;&amp; _level &lt;= 3, 'Invalid level');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documents[_docHash].accessLevel[_user] = _level;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emit AccessGranted(_docHash, _user, _level);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function revokeAccess(bytes32 _docHash, address _user) public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require(documents[_docHash].owner == msg.sender, 'Not owner');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documents[_docHash].accessLevel[_user] =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emit AccessRevoked(_docHash, _user);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function getDocument(bytes32 _docHash) public view returns (string memory, uint256)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require(documents[_docHash].accessLevel[msg.sender] &gt;= 1, 'Not authorized');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if (documents[_docHash].expiry &gt; 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    require(block.timestamp &lt;= documents[_docHash].expiry, 'Access expired');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    return (documents[_docHash].ipfsCID, documents[_docHash].timestamp);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7. Vertical Use Case Modules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7.1 LegalVault — Law Firms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LegalVault is the law-firm configuration of SecureDocChain, purpose-built for attorney-client workflows: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0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A3C6B"/>
                <w:sz w:val="22"/>
                <w:szCs w:val="22"/>
              </w:rPr>
              <w:t xml:space="preserve">LegalVault Feature 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Matter Rooms: private workspaces per legal matter, sharing restricted to assigned counsel and clients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Digital Seal: one-click on-chain notarization with timestamp proof (admissible in many jurisdictions)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Version Ledger: immutable version history — every draft edit recorded with editor identity and timestamp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E-Discovery Export: one-click export of complete audit trail in EDRM XML format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Privilege Wall: attorney-client privileged documents marked separately; accessible only by authorized attorneys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Conflict Check Integration: on-chain identity registry flags if an invited party appears in adverse matters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Hyperledger Fabric mode for full consortium privacy (multi-firm matter sharing with zero data leakage)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Regulatory alignment: GDPR (AES-256 + right to erasure via key deletion), ABA Model Rules 1.6 (confidentiality), HIPAA (for health-related legal matters).</w:t>
      </w:r>
    </w:p>
    <w:p>
      <w:pPr>
        <w:spacing w:after="400" w:before="4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7.2 ScriptSafe — Creative &amp; Production Houses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ScriptSafe addresses the unique needs of screenwriters, directors, and production teams: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0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A3C6B"/>
                <w:sz w:val="22"/>
                <w:szCs w:val="22"/>
              </w:rPr>
              <w:t xml:space="preserve">ScriptSafe Feature 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IP Timestamp: uploads a cryptographic hash of a script to a public blockchain — immutable authorship proof, timestamped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Watermarked Reading Room: PDFs rendered in-browser with recipient-specific invisible watermarks; no download without permission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Production Access Tiers: Writer (full), Director (read + annotate), Producer (read only), Distributor (locked until deal signed)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Smart Contract Royalties: revenue split agreements encoded in contract; auto-executes on defined trigger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Leak Tracing: if a document leaks, on-chain access log identifies exactly who had access at the 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Draft Progression: each draft version gets its own on-chain hash; comparison view shows what changed between versions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Rights Registry: WGA/guild registration integration; on-chain rights metadata for downstream licensing</w:t>
            </w:r>
          </w:p>
        </w:tc>
      </w:tr>
    </w:tbl>
    <w:p>
      <w:pPr>
        <w:spacing w:after="200" w:before="20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Research basis: Springer 2023 Blockchain DRM model applied to creative assets. DoxyChain creative credentials model extended with royalty automation.</w:t>
      </w:r>
    </w:p>
    <w:p>
      <w:pPr>
        <w:spacing w:after="400" w:before="4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7.3 VaultDesk — Businesses &amp; Startups</w:t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VaultDesk targets the everyday B2B document sharing needs of startups, SMEs, and growing teams: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8F0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A3C6B"/>
                <w:sz w:val="22"/>
                <w:szCs w:val="22"/>
              </w:rPr>
              <w:t xml:space="preserve">VaultDesk Feature 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Deal Room: secure virtual data room for fundraising — track who opened which document, when, and for how long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NDA Vault: counter-sign NDAs in-platform; signed versions anchored on-chain; legally non-repudiable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Link Expiry: any shared document link auto-expires after a set time or number of views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Revoke on Exit: when an employee or contractor leaves, one click revokes all their document access retroactively logged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Investor Update Portal: monthly reports sent to investors with view-only time-limited access; full open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API-First: REST + webhook APIs to integrate with existing tools (Notion, Slack, Salesforce, Zapier)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Wallet Required: magic link / email-based access for non-crypto-native business users</w:t>
            </w:r>
          </w:p>
        </w:tc>
      </w:tr>
    </w:tbl>
    <w:p>
      <w:pPr>
        <w:spacing w:after="400" w:before="40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8. Technology Stack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IPFS (Pinata/Infura) + Filecoin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Content-addressed, decentralized, incentivized persistence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Blockchain (Dev)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Ethereum Sepolia testnet / Hardhat local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 testing; identical to mainnet contracts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Blockchain (Prod — Public)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Polygon PoS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~$0.01–0.10 per transaction; EVM-compatible; fast finality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Blockchain (Prod — Enterprise)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Hyperledger Fabric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Permissioned channels; zero public data leakage for law firms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Smart Contracts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Solidity 0.8.20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Industry standard; extensive auditing tooling (Slither, Mythril)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18 + Tailwind CSS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Component reuse across all three vertical UIs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Web3 Integration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ethers.js v6 + WalletConnect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Supports MetaMask, hardware wallets, email magic links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Key Proxy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Group key management service; handles re-keying on membership change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Encryption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AES-256-GCM (files) + ECDSA (key wrapping)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NIST-approved; hardware-accelerated in modern browsers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Mobile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Native (Phase 2)</w:t>
            </w:r>
          </w:p>
        </w:tc>
        <w:tc>
          <w:tcPr>
            <w:tcW w:type="dxa" w:w="3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iOS + Android for on-site document review (law/production)</w:t>
            </w:r>
          </w:p>
        </w:tc>
      </w:tr>
    </w:tbl>
    <w:p>
      <w:pPr>
        <w:spacing w:after="400" w:before="40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9. Development Roadmap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60"/>
        <w:gridCol w:w="520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0 — Setup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1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Hardhat + IPFS/Pinata setup; Solidity contract deployed to Sepolia; CI/CD pipeline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1 — Core MVP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Weeks 1–2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Upload → encrypt → IPFS → hash-on-chain flow; wallet auth; basic access grant/revoke UI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2 — Vertical UIs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Weeks 3–4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LegalVault matter rooms; ScriptSafe watermark reader; VaultDesk deal room; group key proxy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3 — Compliance &amp; Export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5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Audit log export (EDRM, PDF); GDPR erasure (key deletion); e-sign integration (DocuSign API)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4 — Production Deploy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 6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Polygon mainnet deploy; Pinata pinning; domain + SSL; security audit (Slither + Mythril)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5 — Hyperledger (Enterprise)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Weeks 7–10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Fabric channel setup for law firm consortia; admin dashboard; enterprise SSO (SAML/OIDC)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6 — Mobile &amp; API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Weeks 11–14</w:t>
            </w:r>
          </w:p>
        </w:tc>
        <w:tc>
          <w:tcPr>
            <w:tcW w:type="dxa" w:w="5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Native apps; REST API + webhooks; Zapier/Slack integrations; public API docs</w:t>
            </w:r>
          </w:p>
        </w:tc>
      </w:tr>
    </w:tbl>
    <w:p>
      <w:pPr>
        <w:spacing w:after="400" w:before="40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10. Cost Estimate</w:t>
      </w:r>
    </w:p>
    <w:p>
      <w:pP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Dev/Testnet Cost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3C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Cost (per month)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Blockchain transactions (Polygon)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 (Sepolia testnet)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$0.01–0.10 per document upload; ~$5–50 for 500 docs/month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IPFS storage (Pinata Pro)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 (free tier for dev)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$20/month for 100GB; scales linearly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Node.js key proxy server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 (local / free tier)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$20–50/month (Render or Railway basic instance)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Domain + SSL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$15/year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Security audit (Slither/Mythril)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$0 (open source tools)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$2,000–8,000 one-time for professional audit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Development (4–6 week sprint)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~$15,000–30,000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Ongoing maintenance: ~$2,000–5,000/month</w:t>
            </w:r>
          </w:p>
        </w:tc>
      </w:tr>
      <w:tr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Total MVP Launch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~$500 testnet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~$100–150/month infra + dev retainer</w:t>
            </w:r>
          </w:p>
        </w:tc>
      </w:tr>
    </w:tbl>
    <w:p>
      <w:pPr>
        <w:spacing w:after="400" w:before="40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Note: Enterprise Hyperledger Fabric deployment requires dedicated cloud infrastructure (AWS/Azure Managed Blockchain) — estimated $500–2,000/month depending on node count and transaction volume.</w:t>
      </w:r>
    </w:p>
    <w:p>
      <w:pPr>
        <w:spacing w:after="400" w:before="40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11. Key References &amp; Resources</w:t>
      </w:r>
    </w:p>
    <w:p>
      <w:pPr>
        <w:spacing w:after="200" w:before="2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Academic Research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Nature Scientific Reports 2024 — 'An efficient blockchain-based framework for file sharing' — two-chain design with IPFS + sharded PBFT consensus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arXiv:2205.01728 (2022) — 'A Secure File Sharing System Based on IPFS and Blockchain' — IPFS proxy + group key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KU EECS 2024 — Hyperledger Fabric + IPFS inter-organizational document sharing project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ScienceDirect 2024 — Attribute-Based Encryption + blockchain for fine-grained access control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Springer 2023 — Blockchain-based Digital Rights Management for creative media assets</w:t>
      </w:r>
    </w:p>
    <w:p>
      <w:pPr>
        <w:spacing w:after="200" w:before="2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Existing Platforms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DoxyChain Drive — doxychain.com — full document lifecycle on-chain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Fileverse — fileverse.io — Web3-native encrypted document collaboration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Kaleido Document Exchange — kaleido.io — enterprise blockchain networks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Certiblok — certiblok.com — decentralized DMS with file fragmentation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Lexkeep Legal DMS — lexkeep.com — blockchain anchoring for law firms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RecordsKeeper.AI — recordskeeper.ai — AI + blockchain records management</w:t>
      </w:r>
    </w:p>
    <w:p>
      <w:pPr>
        <w:spacing w:after="200" w:before="2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Open Source Starting 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github.com/chandanneralgi/Decentralized-File-Sharing-System — AES + IPFS + Ethereum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github.com/ruchi26/Blockchain-based-Decentralized-File-Sharing-System-using-IPFS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Search: 'Secure File Sharing Blockchain IPFS Solidity' on GitHub for additional repositories</w:t>
      </w:r>
    </w:p>
    <w:p>
      <w:pPr>
        <w:spacing w:after="400" w:before="400"/>
      </w:pPr>
      <w:r>
        <w:t xml:space="preserve"/>
      </w:r>
    </w:p>
    <w:p>
      <w:pPr>
        <w:pStyle w:val="Heading1"/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12. Recommended Next Steps</w:t>
      </w:r>
    </w:p>
    <w:p>
      <w:pPr>
        <w:spacing w:after="200" w:before="2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Validate vertical priorities — confirm which of the three modules (LegalVault, ScriptSafe, VaultDesk) ships first based on available pilot customers or design partners.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Assemble the dev squad — minimum viable team: 1 Solidity smart contract developer, 1 React/Node.js full-stack developer, 1 UI/UX designer. Can be completed by a team of 2–3 in the 6-week sprint.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Choose chain strategy — Polygon for consumer/startup vertical (low cost, easy UX); Hyperledger Fabric for law firm enterprise vertical (private, permissioned). Both can coexist.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up development environment — Hardhat + Pinata API + React boilerplate. The smart contract in Section 6 can be deployed to Sepolia testnet on day one.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Identify pilot users — one law firm, one production house/writer, one startup. Real-world feedback in weeks 3–4 will shape the final UX before production deployment.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Plan security audit — schedule a professional Solidity audit (e.g., via Trail of Bits, OpenZeppelin, or CertiK) for after Phase 4. Budget $2,000–8,000 depending on contract complexity.</w:t>
      </w:r>
    </w:p>
    <w:p>
      <w:pPr>
        <w:spacing w:after="400" w:before="400"/>
      </w:pPr>
      <w:r>
        <w:t xml:space="preserve"/>
      </w:r>
    </w:p>
    <w:p>
      <w:pPr>
        <w:pBdr>
          <w:bottom w:val="single" w:color="E5E7EB" w:sz="2"/>
        </w:pBdr>
        <w:spacing w:after="20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3C6B"/>
          <w:sz w:val="28"/>
          <w:szCs w:val="28"/>
        </w:rPr>
        <w:t xml:space="preserve">SecureDocChain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Prepared April 2026 · Based on research from Nature (2024), arXiv (2022), IEEE, and Springer journals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spacing w:after="0" w:before="160"/>
    </w:pPr>
    <w:r>
      <w:rPr>
        <w:rFonts w:ascii="Arial" w:cs="Arial" w:eastAsia="Arial" w:hAnsi="Arial"/>
        <w:color w:val="888888"/>
        <w:sz w:val="18"/>
        <w:szCs w:val="18"/>
      </w:rPr>
      <w:t xml:space="preserve">Confidential — April 2026  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spacing w:after="160" w:before="0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SecureDocChain — Product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2026-04-09T11:45:25.340Z</dcterms:created>
  <dcterms:modified xsi:type="dcterms:W3CDTF">2026-04-09T11:45:25.340Z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