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E1415" w14:textId="77777777" w:rsidR="007058F2" w:rsidRDefault="007058F2"/>
    <w:p w14:paraId="67054976" w14:textId="77777777" w:rsidR="007058F2" w:rsidRDefault="007058F2"/>
    <w:p w14:paraId="50E019EB" w14:textId="77777777" w:rsidR="007058F2" w:rsidRDefault="007058F2"/>
    <w:p w14:paraId="404F3559" w14:textId="77777777" w:rsidR="007058F2" w:rsidRDefault="00000000">
      <w:pPr>
        <w:jc w:val="center"/>
      </w:pPr>
      <w:r>
        <w:rPr>
          <w:rFonts w:ascii="Arial" w:hAnsi="Arial"/>
          <w:b/>
          <w:color w:val="0A2540"/>
          <w:sz w:val="72"/>
        </w:rPr>
        <w:t>SECUREDOCCHAIN</w:t>
      </w:r>
      <w:r>
        <w:rPr>
          <w:rFonts w:ascii="Arial" w:hAnsi="Arial"/>
          <w:b/>
          <w:color w:val="0A2540"/>
          <w:sz w:val="72"/>
        </w:rPr>
        <w:br/>
      </w:r>
      <w:r>
        <w:rPr>
          <w:rFonts w:ascii="Arial" w:hAnsi="Arial"/>
          <w:i/>
          <w:color w:val="708090"/>
          <w:sz w:val="28"/>
        </w:rPr>
        <w:t>Production-Grade Decentralized Document Custody,</w:t>
      </w:r>
      <w:r>
        <w:rPr>
          <w:rFonts w:ascii="Arial" w:hAnsi="Arial"/>
          <w:i/>
          <w:color w:val="708090"/>
          <w:sz w:val="28"/>
        </w:rPr>
        <w:br/>
        <w:t>Verification &amp; Gasless Sharing Platform</w:t>
      </w:r>
      <w:r>
        <w:rPr>
          <w:rFonts w:ascii="Arial" w:hAnsi="Arial"/>
          <w:i/>
          <w:color w:val="708090"/>
          <w:sz w:val="28"/>
        </w:rPr>
        <w:br/>
      </w:r>
    </w:p>
    <w:p w14:paraId="39BE5D2A" w14:textId="77777777" w:rsidR="007058F2" w:rsidRDefault="007058F2"/>
    <w:p w14:paraId="5708F92F" w14:textId="77777777" w:rsidR="007058F2" w:rsidRDefault="007058F2"/>
    <w:p w14:paraId="0E4C739E" w14:textId="77777777" w:rsidR="007058F2" w:rsidRDefault="007058F2"/>
    <w:p w14:paraId="25FC2B53" w14:textId="77777777" w:rsidR="007058F2" w:rsidRDefault="007058F2"/>
    <w:tbl>
      <w:tblPr>
        <w:tblW w:w="0" w:type="auto"/>
        <w:jc w:val="center"/>
        <w:tblLook w:val="04A0" w:firstRow="1" w:lastRow="0" w:firstColumn="1" w:lastColumn="0" w:noHBand="0" w:noVBand="1"/>
      </w:tblPr>
      <w:tblGrid>
        <w:gridCol w:w="4680"/>
        <w:gridCol w:w="4680"/>
      </w:tblGrid>
      <w:tr w:rsidR="007058F2" w14:paraId="08976C4E" w14:textId="77777777">
        <w:trPr>
          <w:jc w:val="center"/>
        </w:trPr>
        <w:tc>
          <w:tcPr>
            <w:tcW w:w="4680" w:type="dxa"/>
          </w:tcPr>
          <w:p w14:paraId="5616C819" w14:textId="77777777" w:rsidR="007058F2" w:rsidRDefault="00000000">
            <w:pPr>
              <w:jc w:val="right"/>
            </w:pPr>
            <w:r>
              <w:rPr>
                <w:rFonts w:ascii="Calibri" w:hAnsi="Calibri"/>
                <w:b/>
                <w:color w:val="0A2540"/>
              </w:rPr>
              <w:t>Document Type:</w:t>
            </w:r>
          </w:p>
        </w:tc>
        <w:tc>
          <w:tcPr>
            <w:tcW w:w="4680" w:type="dxa"/>
          </w:tcPr>
          <w:p w14:paraId="430742B8" w14:textId="77777777" w:rsidR="007058F2" w:rsidRDefault="00000000">
            <w:r>
              <w:rPr>
                <w:rFonts w:ascii="Calibri" w:hAnsi="Calibri"/>
                <w:color w:val="333333"/>
              </w:rPr>
              <w:t xml:space="preserve">  Final Project Report (Production &amp; Architecture Audit)</w:t>
            </w:r>
          </w:p>
        </w:tc>
      </w:tr>
      <w:tr w:rsidR="007058F2" w14:paraId="16F3743A" w14:textId="77777777">
        <w:trPr>
          <w:jc w:val="center"/>
        </w:trPr>
        <w:tc>
          <w:tcPr>
            <w:tcW w:w="4680" w:type="dxa"/>
          </w:tcPr>
          <w:p w14:paraId="3422AF8C" w14:textId="77777777" w:rsidR="007058F2" w:rsidRDefault="00000000">
            <w:pPr>
              <w:jc w:val="right"/>
            </w:pPr>
            <w:r>
              <w:rPr>
                <w:rFonts w:ascii="Calibri" w:hAnsi="Calibri"/>
                <w:b/>
                <w:color w:val="0A2540"/>
              </w:rPr>
              <w:t>Prepared For:</w:t>
            </w:r>
          </w:p>
        </w:tc>
        <w:tc>
          <w:tcPr>
            <w:tcW w:w="4680" w:type="dxa"/>
          </w:tcPr>
          <w:p w14:paraId="31B56514" w14:textId="77777777" w:rsidR="007058F2" w:rsidRDefault="00000000">
            <w:r>
              <w:rPr>
                <w:rFonts w:ascii="Calibri" w:hAnsi="Calibri"/>
                <w:color w:val="333333"/>
              </w:rPr>
              <w:t xml:space="preserve">  Antigravity Studio &amp; Stakeholder Board</w:t>
            </w:r>
          </w:p>
        </w:tc>
      </w:tr>
      <w:tr w:rsidR="007058F2" w14:paraId="62098AEB" w14:textId="77777777">
        <w:trPr>
          <w:jc w:val="center"/>
        </w:trPr>
        <w:tc>
          <w:tcPr>
            <w:tcW w:w="4680" w:type="dxa"/>
          </w:tcPr>
          <w:p w14:paraId="14BEA53F" w14:textId="77777777" w:rsidR="007058F2" w:rsidRDefault="00000000">
            <w:pPr>
              <w:jc w:val="right"/>
            </w:pPr>
            <w:r>
              <w:rPr>
                <w:rFonts w:ascii="Calibri" w:hAnsi="Calibri"/>
                <w:b/>
                <w:color w:val="0A2540"/>
              </w:rPr>
              <w:t>Authors:</w:t>
            </w:r>
          </w:p>
        </w:tc>
        <w:tc>
          <w:tcPr>
            <w:tcW w:w="4680" w:type="dxa"/>
          </w:tcPr>
          <w:p w14:paraId="70D622FF" w14:textId="1662C84A" w:rsidR="007058F2" w:rsidRDefault="00000000">
            <w:r>
              <w:rPr>
                <w:rFonts w:ascii="Calibri" w:hAnsi="Calibri"/>
                <w:color w:val="333333"/>
              </w:rPr>
              <w:t xml:space="preserve">  Samir Jumade </w:t>
            </w:r>
          </w:p>
        </w:tc>
      </w:tr>
      <w:tr w:rsidR="007058F2" w14:paraId="2A2D47C8" w14:textId="77777777">
        <w:trPr>
          <w:jc w:val="center"/>
        </w:trPr>
        <w:tc>
          <w:tcPr>
            <w:tcW w:w="4680" w:type="dxa"/>
          </w:tcPr>
          <w:p w14:paraId="232343FF" w14:textId="77777777" w:rsidR="007058F2" w:rsidRDefault="00000000">
            <w:pPr>
              <w:jc w:val="right"/>
            </w:pPr>
            <w:r>
              <w:rPr>
                <w:rFonts w:ascii="Calibri" w:hAnsi="Calibri"/>
                <w:b/>
                <w:color w:val="0A2540"/>
              </w:rPr>
              <w:t>Target Verticals:</w:t>
            </w:r>
          </w:p>
        </w:tc>
        <w:tc>
          <w:tcPr>
            <w:tcW w:w="4680" w:type="dxa"/>
          </w:tcPr>
          <w:p w14:paraId="1AF45353" w14:textId="77777777" w:rsidR="007058F2" w:rsidRDefault="00000000">
            <w:r>
              <w:rPr>
                <w:rFonts w:ascii="Calibri" w:hAnsi="Calibri"/>
                <w:color w:val="333333"/>
              </w:rPr>
              <w:t xml:space="preserve">  LegalVault (Law Firms) | ScriptSafe (Creative) | VaultDesk (Startups)</w:t>
            </w:r>
          </w:p>
        </w:tc>
      </w:tr>
      <w:tr w:rsidR="007058F2" w14:paraId="1CBC910B" w14:textId="77777777">
        <w:trPr>
          <w:jc w:val="center"/>
        </w:trPr>
        <w:tc>
          <w:tcPr>
            <w:tcW w:w="4680" w:type="dxa"/>
          </w:tcPr>
          <w:p w14:paraId="26279914" w14:textId="77777777" w:rsidR="007058F2" w:rsidRDefault="00000000">
            <w:pPr>
              <w:jc w:val="right"/>
            </w:pPr>
            <w:r>
              <w:rPr>
                <w:rFonts w:ascii="Calibri" w:hAnsi="Calibri"/>
                <w:b/>
                <w:color w:val="0A2540"/>
              </w:rPr>
              <w:t>Development Date:</w:t>
            </w:r>
          </w:p>
        </w:tc>
        <w:tc>
          <w:tcPr>
            <w:tcW w:w="4680" w:type="dxa"/>
          </w:tcPr>
          <w:p w14:paraId="58284A70" w14:textId="77777777" w:rsidR="007058F2" w:rsidRDefault="00000000">
            <w:r>
              <w:rPr>
                <w:rFonts w:ascii="Calibri" w:hAnsi="Calibri"/>
                <w:color w:val="333333"/>
              </w:rPr>
              <w:t xml:space="preserve">  July 2026</w:t>
            </w:r>
          </w:p>
        </w:tc>
      </w:tr>
    </w:tbl>
    <w:p w14:paraId="09150B1F" w14:textId="77777777" w:rsidR="007058F2" w:rsidRDefault="00000000">
      <w:r>
        <w:br w:type="page"/>
      </w:r>
    </w:p>
    <w:p w14:paraId="0758599D" w14:textId="77777777" w:rsidR="007058F2" w:rsidRDefault="00000000">
      <w:pPr>
        <w:keepNext/>
        <w:spacing w:before="440" w:after="160"/>
      </w:pPr>
      <w:r>
        <w:rPr>
          <w:rFonts w:ascii="Arial" w:hAnsi="Arial"/>
          <w:b/>
          <w:color w:val="0A2540"/>
          <w:sz w:val="36"/>
        </w:rPr>
        <w:lastRenderedPageBreak/>
        <w:t>1. Executive Summary</w:t>
      </w:r>
    </w:p>
    <w:p w14:paraId="63729C19" w14:textId="77777777" w:rsidR="007058F2" w:rsidRDefault="00000000">
      <w:pPr>
        <w:spacing w:after="120"/>
      </w:pPr>
      <w:r>
        <w:rPr>
          <w:rFonts w:ascii="Calibri" w:hAnsi="Calibri"/>
          <w:color w:val="333333"/>
          <w:sz w:val="21"/>
        </w:rPr>
        <w:t>Traditional document management and sharing solutions function exclusively on a custodial model. Under this paradigm, organizations are forced to entrust unencrypted, sensitive files directly to third-party cloud providers (e.g., Google Drive, Dropbox, DocuSign). If these centralized servers are breached, or if the provider exercises discretionary authority, document confidentiality and integrity are immediately compromised. Furthermore, traditional digital signature systems rely heavily on central databases, leaving them susceptible to retroactive timeline manipulation or non-repudiation challenges.</w:t>
      </w:r>
    </w:p>
    <w:p w14:paraId="3EDB5089" w14:textId="77777777" w:rsidR="007058F2" w:rsidRDefault="00000000">
      <w:pPr>
        <w:spacing w:after="120"/>
      </w:pPr>
      <w:r>
        <w:rPr>
          <w:rFonts w:ascii="Calibri" w:hAnsi="Calibri"/>
          <w:color w:val="333333"/>
          <w:sz w:val="21"/>
        </w:rPr>
        <w:t>SecureDocChain resolves these issues by introducing an enterprise-grade, Zero-Knowledge decentralized document custody, verification, and sharing platform. The platform merges the architectural strengths of client-side symmetric cryptography (AES-256-GCM), decentralized file storage (IPFS), and on-chain state anchoring via upgradeable smart contracts (UUPS Proxy) on the Polygon PoS network. Crucially, the platform abstracts all blockchain complexities by utilizing gasless meta-transactions (ERC-2771 Forwarders) and secure email-to-wallet mapping (embedded authorization), delivering a seamless, non-crypto-native web interface.</w:t>
      </w:r>
    </w:p>
    <w:tbl>
      <w:tblPr>
        <w:tblW w:w="0" w:type="auto"/>
        <w:jc w:val="center"/>
        <w:tblLook w:val="04A0" w:firstRow="1" w:lastRow="0" w:firstColumn="1" w:lastColumn="0" w:noHBand="0" w:noVBand="1"/>
      </w:tblPr>
      <w:tblGrid>
        <w:gridCol w:w="9360"/>
      </w:tblGrid>
      <w:tr w:rsidR="007058F2" w14:paraId="5E960339" w14:textId="77777777">
        <w:trPr>
          <w:jc w:val="center"/>
        </w:trPr>
        <w:tc>
          <w:tcPr>
            <w:tcW w:w="9360" w:type="dxa"/>
            <w:tcBorders>
              <w:top w:val="none" w:sz="4" w:space="0" w:color="auto"/>
              <w:left w:val="single" w:sz="24" w:space="0" w:color="0A2540"/>
              <w:bottom w:val="none" w:sz="4" w:space="0" w:color="auto"/>
              <w:right w:val="none" w:sz="4" w:space="0" w:color="auto"/>
            </w:tcBorders>
            <w:shd w:val="clear" w:color="auto" w:fill="F0F4F8"/>
          </w:tcPr>
          <w:p w14:paraId="7EAD6F5B" w14:textId="77777777" w:rsidR="007058F2" w:rsidRDefault="00000000">
            <w:pPr>
              <w:spacing w:before="120" w:after="120"/>
              <w:ind w:left="216" w:right="216"/>
            </w:pPr>
            <w:r>
              <w:rPr>
                <w:rFonts w:ascii="Calibri" w:hAnsi="Calibri"/>
                <w:i/>
                <w:color w:val="333333"/>
                <w:sz w:val="20"/>
              </w:rPr>
              <w:t>Product Vision: SecureDocChain provides a Zero-Knowledge workspace where raw files never leave the local browser unencrypted. All permissions, cryptographic hashes, and historical access events are permanently anchored to the Polygon blockchain, creating a tamper-proof and fully auditable legal ledger of document custody.</w:t>
            </w:r>
          </w:p>
        </w:tc>
      </w:tr>
    </w:tbl>
    <w:p w14:paraId="3C0683A4" w14:textId="77777777" w:rsidR="007058F2" w:rsidRDefault="007058F2">
      <w:pPr>
        <w:spacing w:after="120"/>
      </w:pPr>
    </w:p>
    <w:p w14:paraId="60F4ED90" w14:textId="77777777" w:rsidR="007058F2" w:rsidRDefault="00000000">
      <w:pPr>
        <w:keepNext/>
        <w:spacing w:before="440" w:after="160"/>
      </w:pPr>
      <w:r>
        <w:rPr>
          <w:rFonts w:ascii="Arial" w:hAnsi="Arial"/>
          <w:b/>
          <w:color w:val="0A2540"/>
          <w:sz w:val="36"/>
        </w:rPr>
        <w:t>2. Problem Statement &amp; Market Verticals</w:t>
      </w:r>
    </w:p>
    <w:p w14:paraId="2F4A95FD" w14:textId="77777777" w:rsidR="007058F2" w:rsidRDefault="00000000">
      <w:pPr>
        <w:spacing w:after="120"/>
      </w:pPr>
      <w:r>
        <w:rPr>
          <w:rFonts w:ascii="Calibri" w:hAnsi="Calibri"/>
          <w:color w:val="333333"/>
          <w:sz w:val="21"/>
        </w:rPr>
        <w:t>SecureDocChain targets three core professional sectors that handle highly confidential agreements, creative materials, or corporate assets. Each of these verticals has specialized regulatory and administrative security requirements:</w:t>
      </w:r>
    </w:p>
    <w:p w14:paraId="5B68DB3B" w14:textId="77777777" w:rsidR="007058F2" w:rsidRDefault="00000000">
      <w:pPr>
        <w:keepNext/>
        <w:spacing w:before="280" w:after="120"/>
      </w:pPr>
      <w:r>
        <w:rPr>
          <w:rFonts w:ascii="Arial" w:hAnsi="Arial"/>
          <w:b/>
          <w:color w:val="708090"/>
          <w:sz w:val="27"/>
        </w:rPr>
        <w:t>2.1 Law Firms (LegalVault)</w:t>
      </w:r>
    </w:p>
    <w:p w14:paraId="60AF5BD8" w14:textId="77777777" w:rsidR="007058F2" w:rsidRDefault="00000000">
      <w:pPr>
        <w:spacing w:after="120"/>
      </w:pPr>
      <w:r>
        <w:rPr>
          <w:rFonts w:ascii="Calibri" w:hAnsi="Calibri"/>
          <w:color w:val="333333"/>
          <w:sz w:val="21"/>
        </w:rPr>
        <w:t>Legal professionals require rigorous chain-of-custody tracking for contracts, evidence, and filings. Under ABA Model Rule 1.6, attorney-client communications require maximum protection. LegalVault addresses these goals by establishing dedicated Matter Rooms and a visual Privilege Wall to isolate sensitive records, along with a Digital Seal to record immutable proof of notarization on the blockchain.</w:t>
      </w:r>
    </w:p>
    <w:p w14:paraId="42635F83" w14:textId="77777777" w:rsidR="007058F2" w:rsidRDefault="00000000">
      <w:pPr>
        <w:keepNext/>
        <w:spacing w:before="280" w:after="120"/>
      </w:pPr>
      <w:r>
        <w:rPr>
          <w:rFonts w:ascii="Arial" w:hAnsi="Arial"/>
          <w:b/>
          <w:color w:val="708090"/>
          <w:sz w:val="27"/>
        </w:rPr>
        <w:t>2.2 Creative Houses &amp; Screenwriters (ScriptSafe)</w:t>
      </w:r>
    </w:p>
    <w:p w14:paraId="7953E998" w14:textId="77777777" w:rsidR="007058F2" w:rsidRDefault="00000000">
      <w:pPr>
        <w:spacing w:after="120"/>
      </w:pPr>
      <w:r>
        <w:rPr>
          <w:rFonts w:ascii="Calibri" w:hAnsi="Calibri"/>
          <w:color w:val="333333"/>
          <w:sz w:val="21"/>
        </w:rPr>
        <w:t>Pre-release scripts and screenplay drafts are highly valuable IP assets prone to early leaks. ScriptSafe provides screenwriters with timestamped proof of authorship anchored to the public ledger as copyright evidence. It mitigates visual piracy using a secure, watermark-injected in-browser viewer and enforces automated royalty splits via smart contracts.</w:t>
      </w:r>
    </w:p>
    <w:p w14:paraId="23357796" w14:textId="77777777" w:rsidR="007058F2" w:rsidRDefault="00000000">
      <w:pPr>
        <w:keepNext/>
        <w:spacing w:before="280" w:after="120"/>
      </w:pPr>
      <w:r>
        <w:rPr>
          <w:rFonts w:ascii="Arial" w:hAnsi="Arial"/>
          <w:b/>
          <w:color w:val="708090"/>
          <w:sz w:val="27"/>
        </w:rPr>
        <w:lastRenderedPageBreak/>
        <w:t>2.3 Startups &amp; Venture Finance (VaultDesk)</w:t>
      </w:r>
    </w:p>
    <w:p w14:paraId="553989A3" w14:textId="77777777" w:rsidR="007058F2" w:rsidRDefault="00000000">
      <w:pPr>
        <w:spacing w:after="120"/>
      </w:pPr>
      <w:r>
        <w:rPr>
          <w:rFonts w:ascii="Calibri" w:hAnsi="Calibri"/>
          <w:color w:val="333333"/>
          <w:sz w:val="21"/>
        </w:rPr>
        <w:t>Founders share sensitive pitch decks, Cap Tables, and corporate term sheets with investors. VaultDesk provides a secure Deal Room that tracks engagement analytics (time spent reading), implements secure counter-signing of NDAs on-chain, and offers a single-click employee offboarding flow (Revoke-on-Exit) that instantly sweeps and revokes access to all shared documents.</w:t>
      </w:r>
    </w:p>
    <w:p w14:paraId="1B620B62" w14:textId="77777777" w:rsidR="007058F2" w:rsidRDefault="00000000">
      <w:pPr>
        <w:keepNext/>
        <w:spacing w:before="440" w:after="160"/>
      </w:pPr>
      <w:r>
        <w:rPr>
          <w:rFonts w:ascii="Arial" w:hAnsi="Arial"/>
          <w:b/>
          <w:color w:val="0A2540"/>
          <w:sz w:val="36"/>
        </w:rPr>
        <w:t>3. System Architecture &amp; Tech Stack</w:t>
      </w:r>
    </w:p>
    <w:p w14:paraId="1B5B67ED" w14:textId="77777777" w:rsidR="007058F2" w:rsidRDefault="00000000">
      <w:pPr>
        <w:spacing w:after="120"/>
      </w:pPr>
      <w:r>
        <w:rPr>
          <w:rFonts w:ascii="Calibri" w:hAnsi="Calibri"/>
          <w:color w:val="333333"/>
          <w:sz w:val="21"/>
        </w:rPr>
        <w:t>SecureDocChain employs a three-layer hybrid architecture. This pattern aligns with peer-reviewed research (e.g., Nature Scientific Reports 2024; IEEE/arXiv blockchain sharing standards) indicating that storage and logic must be split to optimize throughput and keep gas fees economically viable.</w:t>
      </w:r>
    </w:p>
    <w:tbl>
      <w:tblPr>
        <w:tblW w:w="0" w:type="auto"/>
        <w:jc w:val="center"/>
        <w:tblBorders>
          <w:top w:val="single" w:sz="4" w:space="0" w:color="E0E0E0"/>
          <w:bottom w:val="single" w:sz="6" w:space="0" w:color="A0A0A0"/>
          <w:insideH w:val="single" w:sz="4" w:space="0" w:color="E0E0E0"/>
        </w:tblBorders>
        <w:tblLook w:val="04A0" w:firstRow="1" w:lastRow="0" w:firstColumn="1" w:lastColumn="0" w:noHBand="0" w:noVBand="1"/>
      </w:tblPr>
      <w:tblGrid>
        <w:gridCol w:w="3120"/>
        <w:gridCol w:w="3120"/>
        <w:gridCol w:w="3120"/>
      </w:tblGrid>
      <w:tr w:rsidR="007058F2" w14:paraId="6BE70BF5" w14:textId="77777777">
        <w:trPr>
          <w:jc w:val="center"/>
        </w:trPr>
        <w:tc>
          <w:tcPr>
            <w:tcW w:w="3120" w:type="dxa"/>
            <w:shd w:val="clear" w:color="auto" w:fill="0A2540"/>
          </w:tcPr>
          <w:p w14:paraId="1CAEA0DA" w14:textId="77777777" w:rsidR="007058F2" w:rsidRDefault="00000000">
            <w:pPr>
              <w:spacing w:before="120" w:after="120"/>
              <w:ind w:left="115"/>
            </w:pPr>
            <w:r>
              <w:rPr>
                <w:rFonts w:ascii="Arial" w:hAnsi="Arial"/>
                <w:b/>
                <w:color w:val="FFFFFF"/>
                <w:sz w:val="20"/>
              </w:rPr>
              <w:t>Layer</w:t>
            </w:r>
          </w:p>
        </w:tc>
        <w:tc>
          <w:tcPr>
            <w:tcW w:w="3120" w:type="dxa"/>
            <w:shd w:val="clear" w:color="auto" w:fill="0A2540"/>
          </w:tcPr>
          <w:p w14:paraId="725D960C" w14:textId="77777777" w:rsidR="007058F2" w:rsidRDefault="00000000">
            <w:pPr>
              <w:spacing w:before="120" w:after="120"/>
              <w:ind w:left="115"/>
            </w:pPr>
            <w:r>
              <w:rPr>
                <w:rFonts w:ascii="Arial" w:hAnsi="Arial"/>
                <w:b/>
                <w:color w:val="FFFFFF"/>
                <w:sz w:val="20"/>
              </w:rPr>
              <w:t>Technology Stack</w:t>
            </w:r>
          </w:p>
        </w:tc>
        <w:tc>
          <w:tcPr>
            <w:tcW w:w="3120" w:type="dxa"/>
            <w:shd w:val="clear" w:color="auto" w:fill="0A2540"/>
          </w:tcPr>
          <w:p w14:paraId="0B5235CF" w14:textId="77777777" w:rsidR="007058F2" w:rsidRDefault="00000000">
            <w:pPr>
              <w:spacing w:before="120" w:after="120"/>
              <w:ind w:left="115"/>
            </w:pPr>
            <w:r>
              <w:rPr>
                <w:rFonts w:ascii="Arial" w:hAnsi="Arial"/>
                <w:b/>
                <w:color w:val="FFFFFF"/>
                <w:sz w:val="20"/>
              </w:rPr>
              <w:t>Core Functionality &amp; Rationale</w:t>
            </w:r>
          </w:p>
        </w:tc>
      </w:tr>
      <w:tr w:rsidR="007058F2" w14:paraId="1854D9C1" w14:textId="77777777">
        <w:trPr>
          <w:jc w:val="center"/>
        </w:trPr>
        <w:tc>
          <w:tcPr>
            <w:tcW w:w="3120" w:type="dxa"/>
          </w:tcPr>
          <w:p w14:paraId="19C293F7" w14:textId="77777777" w:rsidR="007058F2" w:rsidRDefault="00000000">
            <w:pPr>
              <w:spacing w:before="80" w:after="80"/>
              <w:ind w:left="115"/>
            </w:pPr>
            <w:r>
              <w:rPr>
                <w:rFonts w:ascii="Calibri" w:hAnsi="Calibri"/>
                <w:color w:val="333333"/>
                <w:sz w:val="19"/>
              </w:rPr>
              <w:t>1. Encrypted Storage</w:t>
            </w:r>
          </w:p>
        </w:tc>
        <w:tc>
          <w:tcPr>
            <w:tcW w:w="3120" w:type="dxa"/>
          </w:tcPr>
          <w:p w14:paraId="58B33C2D" w14:textId="77777777" w:rsidR="007058F2" w:rsidRDefault="00000000">
            <w:pPr>
              <w:spacing w:before="80" w:after="80"/>
              <w:ind w:left="115"/>
            </w:pPr>
            <w:r>
              <w:rPr>
                <w:rFonts w:ascii="Calibri" w:hAnsi="Calibri"/>
                <w:color w:val="333333"/>
                <w:sz w:val="19"/>
              </w:rPr>
              <w:t>IPFS (Pinata SDK) +</w:t>
            </w:r>
            <w:r>
              <w:rPr>
                <w:rFonts w:ascii="Calibri" w:hAnsi="Calibri"/>
                <w:color w:val="333333"/>
                <w:sz w:val="19"/>
              </w:rPr>
              <w:br/>
              <w:t>Fallback Gateway</w:t>
            </w:r>
          </w:p>
        </w:tc>
        <w:tc>
          <w:tcPr>
            <w:tcW w:w="3120" w:type="dxa"/>
          </w:tcPr>
          <w:p w14:paraId="6F187531" w14:textId="77777777" w:rsidR="007058F2" w:rsidRDefault="00000000">
            <w:pPr>
              <w:spacing w:before="80" w:after="80"/>
              <w:ind w:left="115"/>
            </w:pPr>
            <w:r>
              <w:rPr>
                <w:rFonts w:ascii="Calibri" w:hAnsi="Calibri"/>
                <w:color w:val="333333"/>
                <w:sz w:val="19"/>
              </w:rPr>
              <w:t>Stores client-side encrypted document blobs (AES-256-GCM). Zero raw files touch central servers, and files are content-addressed via unique CIDs.</w:t>
            </w:r>
          </w:p>
        </w:tc>
      </w:tr>
      <w:tr w:rsidR="007058F2" w14:paraId="1F1D9969" w14:textId="77777777">
        <w:trPr>
          <w:jc w:val="center"/>
        </w:trPr>
        <w:tc>
          <w:tcPr>
            <w:tcW w:w="3120" w:type="dxa"/>
            <w:shd w:val="clear" w:color="auto" w:fill="F4F6F9"/>
          </w:tcPr>
          <w:p w14:paraId="0A328BD2" w14:textId="77777777" w:rsidR="007058F2" w:rsidRDefault="00000000">
            <w:pPr>
              <w:spacing w:before="80" w:after="80"/>
              <w:ind w:left="115"/>
            </w:pPr>
            <w:r>
              <w:rPr>
                <w:rFonts w:ascii="Calibri" w:hAnsi="Calibri"/>
                <w:color w:val="333333"/>
                <w:sz w:val="19"/>
              </w:rPr>
              <w:t>2. Blockchain Ledger</w:t>
            </w:r>
          </w:p>
        </w:tc>
        <w:tc>
          <w:tcPr>
            <w:tcW w:w="3120" w:type="dxa"/>
            <w:shd w:val="clear" w:color="auto" w:fill="F4F6F9"/>
          </w:tcPr>
          <w:p w14:paraId="502AAE70" w14:textId="77777777" w:rsidR="007058F2" w:rsidRDefault="00000000">
            <w:pPr>
              <w:spacing w:before="80" w:after="80"/>
              <w:ind w:left="115"/>
            </w:pPr>
            <w:r>
              <w:rPr>
                <w:rFonts w:ascii="Calibri" w:hAnsi="Calibri"/>
                <w:color w:val="333333"/>
                <w:sz w:val="19"/>
              </w:rPr>
              <w:t>Polygon PoS Network / Amoy</w:t>
            </w:r>
            <w:r>
              <w:rPr>
                <w:rFonts w:ascii="Calibri" w:hAnsi="Calibri"/>
                <w:color w:val="333333"/>
                <w:sz w:val="19"/>
              </w:rPr>
              <w:br/>
              <w:t>Solidity 0.8.24 + UUPS proxy</w:t>
            </w:r>
          </w:p>
        </w:tc>
        <w:tc>
          <w:tcPr>
            <w:tcW w:w="3120" w:type="dxa"/>
            <w:shd w:val="clear" w:color="auto" w:fill="F4F6F9"/>
          </w:tcPr>
          <w:p w14:paraId="1072CC8B" w14:textId="77777777" w:rsidR="007058F2" w:rsidRDefault="00000000">
            <w:pPr>
              <w:spacing w:before="80" w:after="80"/>
              <w:ind w:left="115"/>
            </w:pPr>
            <w:r>
              <w:rPr>
                <w:rFonts w:ascii="Calibri" w:hAnsi="Calibri"/>
                <w:color w:val="333333"/>
                <w:sz w:val="19"/>
              </w:rPr>
              <w:t>Anchors document Keccak256 hashes, ownership registries, permission logs (ACL), and signature records in an immutable ledger.</w:t>
            </w:r>
          </w:p>
        </w:tc>
      </w:tr>
      <w:tr w:rsidR="007058F2" w14:paraId="2189BCF5" w14:textId="77777777">
        <w:trPr>
          <w:jc w:val="center"/>
        </w:trPr>
        <w:tc>
          <w:tcPr>
            <w:tcW w:w="3120" w:type="dxa"/>
          </w:tcPr>
          <w:p w14:paraId="4D930B5D" w14:textId="77777777" w:rsidR="007058F2" w:rsidRDefault="00000000">
            <w:pPr>
              <w:spacing w:before="80" w:after="80"/>
              <w:ind w:left="115"/>
            </w:pPr>
            <w:r>
              <w:rPr>
                <w:rFonts w:ascii="Calibri" w:hAnsi="Calibri"/>
                <w:color w:val="333333"/>
                <w:sz w:val="19"/>
              </w:rPr>
              <w:t>3. Web Frontend</w:t>
            </w:r>
          </w:p>
        </w:tc>
        <w:tc>
          <w:tcPr>
            <w:tcW w:w="3120" w:type="dxa"/>
          </w:tcPr>
          <w:p w14:paraId="1D27CDCC" w14:textId="77777777" w:rsidR="007058F2" w:rsidRDefault="00000000">
            <w:pPr>
              <w:spacing w:before="80" w:after="80"/>
              <w:ind w:left="115"/>
            </w:pPr>
            <w:r>
              <w:rPr>
                <w:rFonts w:ascii="Calibri" w:hAnsi="Calibri"/>
                <w:color w:val="333333"/>
                <w:sz w:val="19"/>
              </w:rPr>
              <w:t>Next.js 14 (App Router) +</w:t>
            </w:r>
            <w:r>
              <w:rPr>
                <w:rFonts w:ascii="Calibri" w:hAnsi="Calibri"/>
                <w:color w:val="333333"/>
                <w:sz w:val="19"/>
              </w:rPr>
              <w:br/>
              <w:t>Ethers.js v6 + Web3Modal</w:t>
            </w:r>
          </w:p>
        </w:tc>
        <w:tc>
          <w:tcPr>
            <w:tcW w:w="3120" w:type="dxa"/>
          </w:tcPr>
          <w:p w14:paraId="1B0ECAE0" w14:textId="77777777" w:rsidR="007058F2" w:rsidRDefault="00000000">
            <w:pPr>
              <w:spacing w:before="80" w:after="80"/>
              <w:ind w:left="115"/>
            </w:pPr>
            <w:r>
              <w:rPr>
                <w:rFonts w:ascii="Calibri" w:hAnsi="Calibri"/>
                <w:color w:val="333333"/>
                <w:sz w:val="19"/>
              </w:rPr>
              <w:t>Provides a responsive web interface. Uses Magic.link for email authentication and maps non-crypto users to secure addresses in the background.</w:t>
            </w:r>
          </w:p>
        </w:tc>
      </w:tr>
      <w:tr w:rsidR="007058F2" w14:paraId="3F6F6A87" w14:textId="77777777">
        <w:trPr>
          <w:jc w:val="center"/>
        </w:trPr>
        <w:tc>
          <w:tcPr>
            <w:tcW w:w="3120" w:type="dxa"/>
            <w:shd w:val="clear" w:color="auto" w:fill="F4F6F9"/>
          </w:tcPr>
          <w:p w14:paraId="3C22C4B7" w14:textId="77777777" w:rsidR="007058F2" w:rsidRDefault="00000000">
            <w:pPr>
              <w:spacing w:before="80" w:after="80"/>
              <w:ind w:left="115"/>
            </w:pPr>
            <w:r>
              <w:rPr>
                <w:rFonts w:ascii="Calibri" w:hAnsi="Calibri"/>
                <w:color w:val="333333"/>
                <w:sz w:val="19"/>
              </w:rPr>
              <w:t>4. Cryptography</w:t>
            </w:r>
          </w:p>
        </w:tc>
        <w:tc>
          <w:tcPr>
            <w:tcW w:w="3120" w:type="dxa"/>
            <w:shd w:val="clear" w:color="auto" w:fill="F4F6F9"/>
          </w:tcPr>
          <w:p w14:paraId="1CE185C9" w14:textId="77777777" w:rsidR="007058F2" w:rsidRDefault="00000000">
            <w:pPr>
              <w:spacing w:before="80" w:after="80"/>
              <w:ind w:left="115"/>
            </w:pPr>
            <w:r>
              <w:rPr>
                <w:rFonts w:ascii="Calibri" w:hAnsi="Calibri"/>
                <w:color w:val="333333"/>
                <w:sz w:val="19"/>
              </w:rPr>
              <w:t>Web Crypto API (AES-GCM) +</w:t>
            </w:r>
            <w:r>
              <w:rPr>
                <w:rFonts w:ascii="Calibri" w:hAnsi="Calibri"/>
                <w:color w:val="333333"/>
                <w:sz w:val="19"/>
              </w:rPr>
              <w:br/>
              <w:t>ECDSA Key Wrapping</w:t>
            </w:r>
          </w:p>
        </w:tc>
        <w:tc>
          <w:tcPr>
            <w:tcW w:w="3120" w:type="dxa"/>
            <w:shd w:val="clear" w:color="auto" w:fill="F4F6F9"/>
          </w:tcPr>
          <w:p w14:paraId="12D639AD" w14:textId="77777777" w:rsidR="007058F2" w:rsidRDefault="00000000">
            <w:pPr>
              <w:spacing w:before="80" w:after="80"/>
              <w:ind w:left="115"/>
            </w:pPr>
            <w:r>
              <w:rPr>
                <w:rFonts w:ascii="Calibri" w:hAnsi="Calibri"/>
                <w:color w:val="333333"/>
                <w:sz w:val="19"/>
              </w:rPr>
              <w:t>Symmetric file encryption runs in-memory inside the browser. Symmetric keys are wrapped (encrypted) with recipient public keys via asymmetric cryptography.</w:t>
            </w:r>
          </w:p>
        </w:tc>
      </w:tr>
      <w:tr w:rsidR="007058F2" w14:paraId="253B71E3" w14:textId="77777777">
        <w:trPr>
          <w:jc w:val="center"/>
        </w:trPr>
        <w:tc>
          <w:tcPr>
            <w:tcW w:w="3120" w:type="dxa"/>
          </w:tcPr>
          <w:p w14:paraId="30569E3A" w14:textId="77777777" w:rsidR="007058F2" w:rsidRDefault="00000000">
            <w:pPr>
              <w:spacing w:before="80" w:after="80"/>
              <w:ind w:left="115"/>
            </w:pPr>
            <w:r>
              <w:rPr>
                <w:rFonts w:ascii="Calibri" w:hAnsi="Calibri"/>
                <w:color w:val="333333"/>
                <w:sz w:val="19"/>
              </w:rPr>
              <w:t>5. Relayer &amp; Delivery</w:t>
            </w:r>
          </w:p>
        </w:tc>
        <w:tc>
          <w:tcPr>
            <w:tcW w:w="3120" w:type="dxa"/>
          </w:tcPr>
          <w:p w14:paraId="0600E11A" w14:textId="77777777" w:rsidR="007058F2" w:rsidRDefault="00000000">
            <w:pPr>
              <w:spacing w:before="80" w:after="80"/>
              <w:ind w:left="115"/>
            </w:pPr>
            <w:r>
              <w:rPr>
                <w:rFonts w:ascii="Calibri" w:hAnsi="Calibri"/>
                <w:color w:val="333333"/>
                <w:sz w:val="19"/>
              </w:rPr>
              <w:t>Nodemailer (Gmail SMTP secure port 465) + Brevo REST API</w:t>
            </w:r>
          </w:p>
        </w:tc>
        <w:tc>
          <w:tcPr>
            <w:tcW w:w="3120" w:type="dxa"/>
          </w:tcPr>
          <w:p w14:paraId="6AC8679A" w14:textId="77777777" w:rsidR="007058F2" w:rsidRDefault="00000000">
            <w:pPr>
              <w:spacing w:before="80" w:after="80"/>
              <w:ind w:left="115"/>
            </w:pPr>
            <w:r>
              <w:rPr>
                <w:rFonts w:ascii="Calibri" w:hAnsi="Calibri"/>
                <w:color w:val="333333"/>
                <w:sz w:val="19"/>
              </w:rPr>
              <w:t>Dispatches transactional magic links. Automatically switches between secure Gmail SSL SMTP and Brevo REST API to ensure delivery.</w:t>
            </w:r>
          </w:p>
        </w:tc>
      </w:tr>
    </w:tbl>
    <w:p w14:paraId="748CDD84" w14:textId="77777777" w:rsidR="007058F2" w:rsidRDefault="007058F2"/>
    <w:p w14:paraId="5B1AF8CD" w14:textId="77777777" w:rsidR="007058F2" w:rsidRDefault="00000000">
      <w:pPr>
        <w:keepNext/>
        <w:spacing w:before="440" w:after="160"/>
      </w:pPr>
      <w:r>
        <w:rPr>
          <w:rFonts w:ascii="Arial" w:hAnsi="Arial"/>
          <w:b/>
          <w:color w:val="0A2540"/>
          <w:sz w:val="36"/>
        </w:rPr>
        <w:lastRenderedPageBreak/>
        <w:t>4. Cryptographic Lifecycle &amp; Workflow</w:t>
      </w:r>
    </w:p>
    <w:p w14:paraId="34C7C763" w14:textId="77777777" w:rsidR="007058F2" w:rsidRDefault="00000000">
      <w:pPr>
        <w:spacing w:after="120"/>
      </w:pPr>
      <w:r>
        <w:rPr>
          <w:rFonts w:ascii="Calibri" w:hAnsi="Calibri"/>
          <w:color w:val="333333"/>
          <w:sz w:val="21"/>
        </w:rPr>
        <w:t>Every file uploaded to the SecureDocChain platform undergoes a strict cryptographic pipeline. This guarantees that unencrypted data never travels over the network, protecting the document from data leaks:</w:t>
      </w:r>
    </w:p>
    <w:p w14:paraId="6F38DE8E" w14:textId="77777777" w:rsidR="007058F2" w:rsidRDefault="00000000">
      <w:pPr>
        <w:pStyle w:val="ListNumber"/>
        <w:spacing w:after="80"/>
      </w:pPr>
      <w:r>
        <w:rPr>
          <w:rFonts w:ascii="Calibri" w:hAnsi="Calibri"/>
          <w:b/>
          <w:color w:val="333333"/>
          <w:sz w:val="21"/>
        </w:rPr>
        <w:t xml:space="preserve">1. Client-Side Encryption: </w:t>
      </w:r>
      <w:r>
        <w:rPr>
          <w:rFonts w:ascii="Calibri" w:hAnsi="Calibri"/>
          <w:color w:val="333333"/>
          <w:sz w:val="21"/>
        </w:rPr>
        <w:t>When an owner uploads a PDF document (up to 500MB), the browser generates a cryptographically secure 256-bit symmetric key and a unique initialization vector (IV). The file bytes are encrypted locally in-browser using AES-256-GCM.</w:t>
      </w:r>
    </w:p>
    <w:p w14:paraId="73BED343" w14:textId="77777777" w:rsidR="007058F2" w:rsidRDefault="00000000">
      <w:pPr>
        <w:pStyle w:val="ListNumber"/>
        <w:spacing w:after="80"/>
      </w:pPr>
      <w:r>
        <w:rPr>
          <w:rFonts w:ascii="Calibri" w:hAnsi="Calibri"/>
          <w:b/>
          <w:color w:val="333333"/>
          <w:sz w:val="21"/>
        </w:rPr>
        <w:t xml:space="preserve">2. IPFS Storage Upload: </w:t>
      </w:r>
      <w:r>
        <w:rPr>
          <w:rFonts w:ascii="Calibri" w:hAnsi="Calibri"/>
          <w:color w:val="333333"/>
          <w:sz w:val="21"/>
        </w:rPr>
        <w:t>The resulting encrypted binary blob is uploaded directly to IPFS via a secure API proxy (Pinata). IPFS returns a content-addressed CID that points directly to the encrypted file.</w:t>
      </w:r>
    </w:p>
    <w:p w14:paraId="7ABB9DE8" w14:textId="77777777" w:rsidR="007058F2" w:rsidRDefault="00000000">
      <w:pPr>
        <w:pStyle w:val="ListNumber"/>
        <w:spacing w:after="80"/>
      </w:pPr>
      <w:r>
        <w:rPr>
          <w:rFonts w:ascii="Calibri" w:hAnsi="Calibri"/>
          <w:b/>
          <w:color w:val="333333"/>
          <w:sz w:val="21"/>
        </w:rPr>
        <w:t xml:space="preserve">3. Asymmetric Key Wrapping: </w:t>
      </w:r>
      <w:r>
        <w:rPr>
          <w:rFonts w:ascii="Calibri" w:hAnsi="Calibri"/>
          <w:color w:val="333333"/>
          <w:sz w:val="21"/>
        </w:rPr>
        <w:t>To share the document with a recipient, the owner's client retrieves the recipient's public key. The local browser encrypts (wraps) the symmetric AES key with the recipient's public key using asymmetric ECDSA-based key wrapping, creating a unique Share Token.</w:t>
      </w:r>
    </w:p>
    <w:p w14:paraId="0AA5D521" w14:textId="77777777" w:rsidR="007058F2" w:rsidRDefault="00000000">
      <w:pPr>
        <w:pStyle w:val="ListNumber"/>
        <w:spacing w:after="80"/>
      </w:pPr>
      <w:r>
        <w:rPr>
          <w:rFonts w:ascii="Calibri" w:hAnsi="Calibri"/>
          <w:b/>
          <w:color w:val="333333"/>
          <w:sz w:val="21"/>
        </w:rPr>
        <w:t xml:space="preserve">4. On-Chain Anchoring: </w:t>
      </w:r>
      <w:r>
        <w:rPr>
          <w:rFonts w:ascii="Calibri" w:hAnsi="Calibri"/>
          <w:color w:val="333333"/>
          <w:sz w:val="21"/>
        </w:rPr>
        <w:t>The owner computes the Keccak256 hash of the IPFS CID, combined with the owner's address and timestamp (docHash). A transaction is dispatched to the Polygon smart contract, anchoring the docHash, CID, and permission mapping (ACL) to the blockchain.</w:t>
      </w:r>
    </w:p>
    <w:p w14:paraId="16EE129B" w14:textId="77777777" w:rsidR="007058F2" w:rsidRDefault="00000000">
      <w:pPr>
        <w:pStyle w:val="ListNumber"/>
        <w:spacing w:after="80"/>
      </w:pPr>
      <w:r>
        <w:rPr>
          <w:rFonts w:ascii="Calibri" w:hAnsi="Calibri"/>
          <w:b/>
          <w:color w:val="333333"/>
          <w:sz w:val="21"/>
        </w:rPr>
        <w:t xml:space="preserve">5. Magic Link and Notification Dispatch: </w:t>
      </w:r>
      <w:r>
        <w:rPr>
          <w:rFonts w:ascii="Calibri" w:hAnsi="Calibri"/>
          <w:color w:val="333333"/>
          <w:sz w:val="21"/>
        </w:rPr>
        <w:t>The frontend generates a secure magic link carrying the wrapped key token. The server dispatches this link via a secure email notification channel (Gmail SMTP secure port 465 or Brevo REST API fallback).</w:t>
      </w:r>
    </w:p>
    <w:p w14:paraId="464C7FF4" w14:textId="77777777" w:rsidR="007058F2" w:rsidRDefault="00000000">
      <w:pPr>
        <w:pStyle w:val="ListNumber"/>
        <w:spacing w:after="80"/>
      </w:pPr>
      <w:r>
        <w:rPr>
          <w:rFonts w:ascii="Calibri" w:hAnsi="Calibri"/>
          <w:b/>
          <w:color w:val="333333"/>
          <w:sz w:val="21"/>
        </w:rPr>
        <w:t xml:space="preserve">6. In-Memory Decryption: </w:t>
      </w:r>
      <w:r>
        <w:rPr>
          <w:rFonts w:ascii="Calibri" w:hAnsi="Calibri"/>
          <w:color w:val="333333"/>
          <w:sz w:val="21"/>
        </w:rPr>
        <w:t>When the recipient clicks the magic link, their browser fetches the encrypted blob from IPFS using the CID. The browser decrypts the wrapped key using their private key, and uses the recovered AES-256 symmetric key to decrypt the document entirely in-memory. The decrypted document is rendered on screen inside a secure sandbox viewer, without ever writing to the local disk.</w:t>
      </w:r>
    </w:p>
    <w:tbl>
      <w:tblPr>
        <w:tblW w:w="0" w:type="auto"/>
        <w:jc w:val="center"/>
        <w:tblLook w:val="04A0" w:firstRow="1" w:lastRow="0" w:firstColumn="1" w:lastColumn="0" w:noHBand="0" w:noVBand="1"/>
      </w:tblPr>
      <w:tblGrid>
        <w:gridCol w:w="9360"/>
      </w:tblGrid>
      <w:tr w:rsidR="007058F2" w14:paraId="3C4014C6" w14:textId="77777777">
        <w:trPr>
          <w:jc w:val="center"/>
        </w:trPr>
        <w:tc>
          <w:tcPr>
            <w:tcW w:w="9360" w:type="dxa"/>
            <w:tcBorders>
              <w:top w:val="none" w:sz="4" w:space="0" w:color="auto"/>
              <w:left w:val="single" w:sz="24" w:space="0" w:color="2E7D32"/>
              <w:bottom w:val="none" w:sz="4" w:space="0" w:color="auto"/>
              <w:right w:val="none" w:sz="4" w:space="0" w:color="auto"/>
            </w:tcBorders>
            <w:shd w:val="clear" w:color="auto" w:fill="EDF7ED"/>
          </w:tcPr>
          <w:p w14:paraId="7FD57D97" w14:textId="77777777" w:rsidR="007058F2" w:rsidRDefault="00000000">
            <w:pPr>
              <w:spacing w:before="120" w:after="120"/>
              <w:ind w:left="216" w:right="216"/>
            </w:pPr>
            <w:r>
              <w:rPr>
                <w:rFonts w:ascii="Calibri" w:hAnsi="Calibri"/>
                <w:i/>
                <w:color w:val="333333"/>
                <w:sz w:val="20"/>
              </w:rPr>
              <w:t>Security Safeguard: Because keys are generated and wrapped entirely within the browser, SecureDocChain servers and databases never see or store the plaintext document or its decryption key. Even in the event of a full server database breach, no user documents can be compromised.</w:t>
            </w:r>
          </w:p>
        </w:tc>
      </w:tr>
    </w:tbl>
    <w:p w14:paraId="0169C0C8" w14:textId="77777777" w:rsidR="007058F2" w:rsidRDefault="007058F2">
      <w:pPr>
        <w:spacing w:after="120"/>
      </w:pPr>
    </w:p>
    <w:p w14:paraId="51156BC2" w14:textId="77777777" w:rsidR="007058F2" w:rsidRDefault="00000000">
      <w:pPr>
        <w:keepNext/>
        <w:spacing w:before="440" w:after="160"/>
      </w:pPr>
      <w:r>
        <w:rPr>
          <w:rFonts w:ascii="Arial" w:hAnsi="Arial"/>
          <w:b/>
          <w:color w:val="0A2540"/>
          <w:sz w:val="36"/>
        </w:rPr>
        <w:t>5. Smart Contract Specifications</w:t>
      </w:r>
    </w:p>
    <w:p w14:paraId="3DD3C6AC" w14:textId="77777777" w:rsidR="007058F2" w:rsidRDefault="00000000">
      <w:pPr>
        <w:spacing w:after="120"/>
      </w:pPr>
      <w:r>
        <w:rPr>
          <w:rFonts w:ascii="Calibri" w:hAnsi="Calibri"/>
          <w:color w:val="333333"/>
          <w:sz w:val="21"/>
        </w:rPr>
        <w:t>The smart contract suite is built using Solidity 0.8.24 and compiled targeting the EVM Cancun fork. The architecture relies on the UUPS (Universal Upgradeable Proxy Standard) pattern (ERC-1822) to enable future logical updates while maintaining state data and token balances at a fixed proxy address.</w:t>
      </w:r>
    </w:p>
    <w:p w14:paraId="00798796" w14:textId="77777777" w:rsidR="007058F2" w:rsidRDefault="00000000">
      <w:pPr>
        <w:keepNext/>
        <w:spacing w:before="280" w:after="120"/>
      </w:pPr>
      <w:r>
        <w:rPr>
          <w:rFonts w:ascii="Arial" w:hAnsi="Arial"/>
          <w:b/>
          <w:color w:val="708090"/>
          <w:sz w:val="27"/>
        </w:rPr>
        <w:t>5.1 Storage Isolation &amp; Slot Protection</w:t>
      </w:r>
    </w:p>
    <w:p w14:paraId="51532376" w14:textId="77777777" w:rsidR="007058F2" w:rsidRDefault="00000000">
      <w:pPr>
        <w:spacing w:after="120"/>
      </w:pPr>
      <w:r>
        <w:rPr>
          <w:rFonts w:ascii="Calibri" w:hAnsi="Calibri"/>
          <w:color w:val="333333"/>
          <w:sz w:val="21"/>
        </w:rPr>
        <w:t>To protect state variables from shifting and causing collisions during proxy upgrades, the smart contract layout is isolated into a dedicated abstract storage contract: SecureDocStorage.sol. The logic execution contract, SecureDocChain.sol, inherits this storage layout but defines no state variables itself. A 48-slot gap array is reserved at the end of the storage definitions to accommodate future variables without disrupting existing layouts.</w:t>
      </w:r>
    </w:p>
    <w:p w14:paraId="7D8458E1" w14:textId="77777777" w:rsidR="007058F2" w:rsidRDefault="00000000">
      <w:pPr>
        <w:spacing w:after="120"/>
      </w:pPr>
      <w:r>
        <w:rPr>
          <w:rFonts w:ascii="Calibri" w:hAnsi="Calibri"/>
          <w:i/>
          <w:color w:val="333333"/>
          <w:sz w:val="21"/>
        </w:rPr>
        <w:t>State Variables layout defined in SecureDocStorage.sol:</w:t>
      </w:r>
    </w:p>
    <w:tbl>
      <w:tblPr>
        <w:tblW w:w="0" w:type="auto"/>
        <w:jc w:val="center"/>
        <w:tblLook w:val="04A0" w:firstRow="1" w:lastRow="0" w:firstColumn="1" w:lastColumn="0" w:noHBand="0" w:noVBand="1"/>
      </w:tblPr>
      <w:tblGrid>
        <w:gridCol w:w="9360"/>
      </w:tblGrid>
      <w:tr w:rsidR="007058F2" w14:paraId="54E0FA89" w14:textId="77777777">
        <w:trPr>
          <w:jc w:val="center"/>
        </w:trPr>
        <w:tc>
          <w:tcPr>
            <w:tcW w:w="9360" w:type="dxa"/>
            <w:tcBorders>
              <w:top w:val="single" w:sz="4" w:space="0" w:color="D0D0D0"/>
              <w:left w:val="single" w:sz="12" w:space="0" w:color="708090"/>
              <w:bottom w:val="single" w:sz="4" w:space="0" w:color="D0D0D0"/>
              <w:right w:val="single" w:sz="4" w:space="0" w:color="D0D0D0"/>
            </w:tcBorders>
            <w:shd w:val="clear" w:color="auto" w:fill="F4F6F9"/>
          </w:tcPr>
          <w:p w14:paraId="5952B46F" w14:textId="77777777" w:rsidR="007058F2" w:rsidRDefault="00000000">
            <w:pPr>
              <w:spacing w:before="80" w:after="80" w:line="240" w:lineRule="auto"/>
              <w:ind w:left="144" w:right="144"/>
            </w:pPr>
            <w:r>
              <w:rPr>
                <w:rFonts w:ascii="Consolas" w:hAnsi="Consolas"/>
                <w:color w:val="24292E"/>
                <w:sz w:val="17"/>
              </w:rPr>
              <w:lastRenderedPageBreak/>
              <w:t>abstract contract SecureDocStorage is Initializable {</w:t>
            </w:r>
            <w:r>
              <w:rPr>
                <w:rFonts w:ascii="Consolas" w:hAnsi="Consolas"/>
                <w:color w:val="24292E"/>
                <w:sz w:val="17"/>
              </w:rPr>
              <w:br/>
            </w:r>
            <w:r>
              <w:rPr>
                <w:rFonts w:ascii="Consolas" w:hAnsi="Consolas"/>
                <w:color w:val="24292E"/>
                <w:sz w:val="17"/>
              </w:rPr>
              <w:br/>
              <w:t xml:space="preserve">    struct Document {</w:t>
            </w:r>
            <w:r>
              <w:rPr>
                <w:rFonts w:ascii="Consolas" w:hAnsi="Consolas"/>
                <w:color w:val="24292E"/>
                <w:sz w:val="17"/>
              </w:rPr>
              <w:br/>
              <w:t xml:space="preserve">        string   ipfsCID;                        // Encrypted blob CID on IPFS</w:t>
            </w:r>
            <w:r>
              <w:rPr>
                <w:rFonts w:ascii="Consolas" w:hAnsi="Consolas"/>
                <w:color w:val="24292E"/>
                <w:sz w:val="17"/>
              </w:rPr>
              <w:br/>
              <w:t xml:space="preserve">        address  owner;                          // Document creator</w:t>
            </w:r>
            <w:r>
              <w:rPr>
                <w:rFonts w:ascii="Consolas" w:hAnsi="Consolas"/>
                <w:color w:val="24292E"/>
                <w:sz w:val="17"/>
              </w:rPr>
              <w:br/>
              <w:t xml:space="preserve">        uint256  version;                        // Increments on edit / key rotation</w:t>
            </w:r>
            <w:r>
              <w:rPr>
                <w:rFonts w:ascii="Consolas" w:hAnsi="Consolas"/>
                <w:color w:val="24292E"/>
                <w:sz w:val="17"/>
              </w:rPr>
              <w:br/>
              <w:t xml:space="preserve">        uint256  keyVersion;                     // Increments strictly on revocation</w:t>
            </w:r>
            <w:r>
              <w:rPr>
                <w:rFonts w:ascii="Consolas" w:hAnsi="Consolas"/>
                <w:color w:val="24292E"/>
                <w:sz w:val="17"/>
              </w:rPr>
              <w:br/>
              <w:t xml:space="preserve">        uint256  timestamp;                      // Last modification timestamp</w:t>
            </w:r>
            <w:r>
              <w:rPr>
                <w:rFonts w:ascii="Consolas" w:hAnsi="Consolas"/>
                <w:color w:val="24292E"/>
                <w:sz w:val="17"/>
              </w:rPr>
              <w:br/>
              <w:t xml:space="preserve">        string   docType;                        // 'legal' | 'script' | 'business'</w:t>
            </w:r>
            <w:r>
              <w:rPr>
                <w:rFonts w:ascii="Consolas" w:hAnsi="Consolas"/>
                <w:color w:val="24292E"/>
                <w:sz w:val="17"/>
              </w:rPr>
              <w:br/>
              <w:t xml:space="preserve">        uint256  expiry;                         // Unix timestamp, 0 = no expiry</w:t>
            </w:r>
            <w:r>
              <w:rPr>
                <w:rFonts w:ascii="Consolas" w:hAnsi="Consolas"/>
                <w:color w:val="24292E"/>
                <w:sz w:val="17"/>
              </w:rPr>
              <w:br/>
              <w:t xml:space="preserve">        bool     ipTimestamp;                    // ScriptSafe IP proof flag</w:t>
            </w:r>
            <w:r>
              <w:rPr>
                <w:rFonts w:ascii="Consolas" w:hAnsi="Consolas"/>
                <w:color w:val="24292E"/>
                <w:sz w:val="17"/>
              </w:rPr>
              <w:br/>
              <w:t xml:space="preserve">        mapping(address =&gt; uint8) accessLevel;   // 0=none, 1=view, 2=edit, 3=sign</w:t>
            </w:r>
            <w:r>
              <w:rPr>
                <w:rFonts w:ascii="Consolas" w:hAnsi="Consolas"/>
                <w:color w:val="24292E"/>
                <w:sz w:val="17"/>
              </w:rPr>
              <w:br/>
              <w:t xml:space="preserve">    }</w:t>
            </w:r>
            <w:r>
              <w:rPr>
                <w:rFonts w:ascii="Consolas" w:hAnsi="Consolas"/>
                <w:color w:val="24292E"/>
                <w:sz w:val="17"/>
              </w:rPr>
              <w:br/>
            </w:r>
            <w:r>
              <w:rPr>
                <w:rFonts w:ascii="Consolas" w:hAnsi="Consolas"/>
                <w:color w:val="24292E"/>
                <w:sz w:val="17"/>
              </w:rPr>
              <w:br/>
              <w:t xml:space="preserve">    mapping(bytes32 =&gt; Document) internal documents;</w:t>
            </w:r>
            <w:r>
              <w:rPr>
                <w:rFonts w:ascii="Consolas" w:hAnsi="Consolas"/>
                <w:color w:val="24292E"/>
                <w:sz w:val="17"/>
              </w:rPr>
              <w:br/>
              <w:t xml:space="preserve">    mapping(bytes32 =&gt; address[]) internal accessLog;</w:t>
            </w:r>
            <w:r>
              <w:rPr>
                <w:rFonts w:ascii="Consolas" w:hAnsi="Consolas"/>
                <w:color w:val="24292E"/>
                <w:sz w:val="17"/>
              </w:rPr>
              <w:br/>
              <w:t xml:space="preserve">    address internal _trustedForwarder;</w:t>
            </w:r>
            <w:r>
              <w:rPr>
                <w:rFonts w:ascii="Consolas" w:hAnsi="Consolas"/>
                <w:color w:val="24292E"/>
                <w:sz w:val="17"/>
              </w:rPr>
              <w:br/>
              <w:t xml:space="preserve">    mapping(bytes32 =&gt; mapping(address =&gt; bool)) internal hasSigned;</w:t>
            </w:r>
            <w:r>
              <w:rPr>
                <w:rFonts w:ascii="Consolas" w:hAnsi="Consolas"/>
                <w:color w:val="24292E"/>
                <w:sz w:val="17"/>
              </w:rPr>
              <w:br/>
            </w:r>
            <w:r>
              <w:rPr>
                <w:rFonts w:ascii="Consolas" w:hAnsi="Consolas"/>
                <w:color w:val="24292E"/>
                <w:sz w:val="17"/>
              </w:rPr>
              <w:br/>
              <w:t xml:space="preserve">    uint256[48] private __gap; // Reserved storage slots</w:t>
            </w:r>
            <w:r>
              <w:rPr>
                <w:rFonts w:ascii="Consolas" w:hAnsi="Consolas"/>
                <w:color w:val="24292E"/>
                <w:sz w:val="17"/>
              </w:rPr>
              <w:br/>
              <w:t>}</w:t>
            </w:r>
          </w:p>
        </w:tc>
      </w:tr>
    </w:tbl>
    <w:p w14:paraId="55F84F68" w14:textId="77777777" w:rsidR="007058F2" w:rsidRDefault="007058F2">
      <w:pPr>
        <w:spacing w:after="120"/>
      </w:pPr>
    </w:p>
    <w:p w14:paraId="320B295D" w14:textId="77777777" w:rsidR="007058F2" w:rsidRDefault="00000000">
      <w:pPr>
        <w:keepNext/>
        <w:spacing w:before="280" w:after="120"/>
      </w:pPr>
      <w:r>
        <w:rPr>
          <w:rFonts w:ascii="Arial" w:hAnsi="Arial"/>
          <w:b/>
          <w:color w:val="708090"/>
          <w:sz w:val="27"/>
        </w:rPr>
        <w:t>5.2 ERC-2771 Gasless Meta-Transactions</w:t>
      </w:r>
    </w:p>
    <w:p w14:paraId="713EB3CB" w14:textId="77777777" w:rsidR="007058F2" w:rsidRDefault="00000000">
      <w:pPr>
        <w:spacing w:after="120"/>
      </w:pPr>
      <w:r>
        <w:rPr>
          <w:rFonts w:ascii="Calibri" w:hAnsi="Calibri"/>
          <w:color w:val="333333"/>
          <w:sz w:val="21"/>
        </w:rPr>
        <w:t>To allow non-crypto users to interact with the blockchain without maintaining a MATIC balance or handling gas prompts, the contract implements ERC-2771. Users sign an EIP-712 transaction intent off-chain using their wallet or embedded browser key. This signed intent is sent to a backend relayer, which submits it to SecureDocForwarder.sol. The forwarder validates the cryptographic signature and forwards the transaction to the SecureDocChain contract.</w:t>
      </w:r>
    </w:p>
    <w:p w14:paraId="0D8458E0" w14:textId="77777777" w:rsidR="007058F2" w:rsidRDefault="00000000">
      <w:pPr>
        <w:spacing w:after="120"/>
      </w:pPr>
      <w:r>
        <w:rPr>
          <w:rFonts w:ascii="Calibri" w:hAnsi="Calibri"/>
          <w:color w:val="333333"/>
          <w:sz w:val="21"/>
        </w:rPr>
        <w:t>Within SecureDocChain.sol, all access checks rely on overriding msg.sender with _msgSender(), extracting the original signer's identity from the end of the transaction payload, as shown below:</w:t>
      </w:r>
    </w:p>
    <w:tbl>
      <w:tblPr>
        <w:tblW w:w="0" w:type="auto"/>
        <w:jc w:val="center"/>
        <w:tblLook w:val="04A0" w:firstRow="1" w:lastRow="0" w:firstColumn="1" w:lastColumn="0" w:noHBand="0" w:noVBand="1"/>
      </w:tblPr>
      <w:tblGrid>
        <w:gridCol w:w="9360"/>
      </w:tblGrid>
      <w:tr w:rsidR="007058F2" w14:paraId="56482296" w14:textId="77777777">
        <w:trPr>
          <w:jc w:val="center"/>
        </w:trPr>
        <w:tc>
          <w:tcPr>
            <w:tcW w:w="9360" w:type="dxa"/>
            <w:tcBorders>
              <w:top w:val="single" w:sz="4" w:space="0" w:color="D0D0D0"/>
              <w:left w:val="single" w:sz="12" w:space="0" w:color="708090"/>
              <w:bottom w:val="single" w:sz="4" w:space="0" w:color="D0D0D0"/>
              <w:right w:val="single" w:sz="4" w:space="0" w:color="D0D0D0"/>
            </w:tcBorders>
            <w:shd w:val="clear" w:color="auto" w:fill="F4F6F9"/>
          </w:tcPr>
          <w:p w14:paraId="29525308" w14:textId="77777777" w:rsidR="007058F2" w:rsidRDefault="00000000">
            <w:pPr>
              <w:spacing w:before="80" w:after="80" w:line="240" w:lineRule="auto"/>
              <w:ind w:left="144" w:right="144"/>
            </w:pPr>
            <w:r>
              <w:rPr>
                <w:rFonts w:ascii="Consolas" w:hAnsi="Consolas"/>
                <w:color w:val="24292E"/>
                <w:sz w:val="17"/>
              </w:rPr>
              <w:t>function _msgSender() internal view override returns (address) {</w:t>
            </w:r>
            <w:r>
              <w:rPr>
                <w:rFonts w:ascii="Consolas" w:hAnsi="Consolas"/>
                <w:color w:val="24292E"/>
                <w:sz w:val="17"/>
              </w:rPr>
              <w:br/>
              <w:t xml:space="preserve">    if (isTrustedForwarder(msg.sender)) {</w:t>
            </w:r>
            <w:r>
              <w:rPr>
                <w:rFonts w:ascii="Consolas" w:hAnsi="Consolas"/>
                <w:color w:val="24292E"/>
                <w:sz w:val="17"/>
              </w:rPr>
              <w:br/>
              <w:t xml:space="preserve">        return ERC2771ContextUpgradeable._msgSender();</w:t>
            </w:r>
            <w:r>
              <w:rPr>
                <w:rFonts w:ascii="Consolas" w:hAnsi="Consolas"/>
                <w:color w:val="24292E"/>
                <w:sz w:val="17"/>
              </w:rPr>
              <w:br/>
              <w:t xml:space="preserve">    }</w:t>
            </w:r>
            <w:r>
              <w:rPr>
                <w:rFonts w:ascii="Consolas" w:hAnsi="Consolas"/>
                <w:color w:val="24292E"/>
                <w:sz w:val="17"/>
              </w:rPr>
              <w:br/>
              <w:t xml:space="preserve">    return msg.sender;</w:t>
            </w:r>
            <w:r>
              <w:rPr>
                <w:rFonts w:ascii="Consolas" w:hAnsi="Consolas"/>
                <w:color w:val="24292E"/>
                <w:sz w:val="17"/>
              </w:rPr>
              <w:br/>
              <w:t>}</w:t>
            </w:r>
          </w:p>
        </w:tc>
      </w:tr>
    </w:tbl>
    <w:p w14:paraId="2863B5AD" w14:textId="77777777" w:rsidR="007058F2" w:rsidRDefault="007058F2">
      <w:pPr>
        <w:spacing w:after="120"/>
      </w:pPr>
    </w:p>
    <w:p w14:paraId="143D77E1" w14:textId="77777777" w:rsidR="007058F2" w:rsidRDefault="00000000">
      <w:pPr>
        <w:keepNext/>
        <w:spacing w:before="440" w:after="160"/>
      </w:pPr>
      <w:r>
        <w:rPr>
          <w:rFonts w:ascii="Arial" w:hAnsi="Arial"/>
          <w:b/>
          <w:color w:val="0A2540"/>
          <w:sz w:val="36"/>
        </w:rPr>
        <w:t>6. Advanced Client-Side Security Sandbox</w:t>
      </w:r>
    </w:p>
    <w:p w14:paraId="152CB7E6" w14:textId="77777777" w:rsidR="007058F2" w:rsidRDefault="00000000">
      <w:pPr>
        <w:spacing w:after="120"/>
      </w:pPr>
      <w:r>
        <w:rPr>
          <w:rFonts w:ascii="Calibri" w:hAnsi="Calibri"/>
          <w:color w:val="333333"/>
          <w:sz w:val="21"/>
        </w:rPr>
        <w:t>To prevent visual data leakage, clipboard scraping, developer inspection, and unauthorized downloads, the document viewing page executes within a highly customized Restricted View Sandbox. This interface is rendered via React Portals and isolates the file viewer with the following protections:</w:t>
      </w:r>
    </w:p>
    <w:tbl>
      <w:tblPr>
        <w:tblW w:w="0" w:type="auto"/>
        <w:jc w:val="center"/>
        <w:tblBorders>
          <w:top w:val="single" w:sz="4" w:space="0" w:color="E0E0E0"/>
          <w:bottom w:val="single" w:sz="6" w:space="0" w:color="A0A0A0"/>
          <w:insideH w:val="single" w:sz="4" w:space="0" w:color="E0E0E0"/>
        </w:tblBorders>
        <w:tblLook w:val="04A0" w:firstRow="1" w:lastRow="0" w:firstColumn="1" w:lastColumn="0" w:noHBand="0" w:noVBand="1"/>
      </w:tblPr>
      <w:tblGrid>
        <w:gridCol w:w="3120"/>
        <w:gridCol w:w="3120"/>
        <w:gridCol w:w="3120"/>
      </w:tblGrid>
      <w:tr w:rsidR="007058F2" w14:paraId="07518D8F" w14:textId="77777777">
        <w:trPr>
          <w:jc w:val="center"/>
        </w:trPr>
        <w:tc>
          <w:tcPr>
            <w:tcW w:w="3120" w:type="dxa"/>
            <w:shd w:val="clear" w:color="auto" w:fill="0A2540"/>
          </w:tcPr>
          <w:p w14:paraId="6F97BF21" w14:textId="77777777" w:rsidR="007058F2" w:rsidRDefault="00000000">
            <w:pPr>
              <w:spacing w:before="120" w:after="120"/>
              <w:ind w:left="115"/>
            </w:pPr>
            <w:r>
              <w:rPr>
                <w:rFonts w:ascii="Arial" w:hAnsi="Arial"/>
                <w:b/>
                <w:color w:val="FFFFFF"/>
                <w:sz w:val="20"/>
              </w:rPr>
              <w:t>Protection Feature</w:t>
            </w:r>
          </w:p>
        </w:tc>
        <w:tc>
          <w:tcPr>
            <w:tcW w:w="3120" w:type="dxa"/>
            <w:shd w:val="clear" w:color="auto" w:fill="0A2540"/>
          </w:tcPr>
          <w:p w14:paraId="2B8C4741" w14:textId="77777777" w:rsidR="007058F2" w:rsidRDefault="00000000">
            <w:pPr>
              <w:spacing w:before="120" w:after="120"/>
              <w:ind w:left="115"/>
            </w:pPr>
            <w:r>
              <w:rPr>
                <w:rFonts w:ascii="Arial" w:hAnsi="Arial"/>
                <w:b/>
                <w:color w:val="FFFFFF"/>
                <w:sz w:val="20"/>
              </w:rPr>
              <w:t>Technical Mechanism</w:t>
            </w:r>
          </w:p>
        </w:tc>
        <w:tc>
          <w:tcPr>
            <w:tcW w:w="3120" w:type="dxa"/>
            <w:shd w:val="clear" w:color="auto" w:fill="0A2540"/>
          </w:tcPr>
          <w:p w14:paraId="3F96629A" w14:textId="77777777" w:rsidR="007058F2" w:rsidRDefault="00000000">
            <w:pPr>
              <w:spacing w:before="120" w:after="120"/>
              <w:ind w:left="115"/>
            </w:pPr>
            <w:r>
              <w:rPr>
                <w:rFonts w:ascii="Arial" w:hAnsi="Arial"/>
                <w:b/>
                <w:color w:val="FFFFFF"/>
                <w:sz w:val="20"/>
              </w:rPr>
              <w:t>Security Objective</w:t>
            </w:r>
          </w:p>
        </w:tc>
      </w:tr>
      <w:tr w:rsidR="007058F2" w14:paraId="1B86D036" w14:textId="77777777">
        <w:trPr>
          <w:jc w:val="center"/>
        </w:trPr>
        <w:tc>
          <w:tcPr>
            <w:tcW w:w="3120" w:type="dxa"/>
          </w:tcPr>
          <w:p w14:paraId="5EB051BB" w14:textId="77777777" w:rsidR="007058F2" w:rsidRDefault="00000000">
            <w:pPr>
              <w:spacing w:before="80" w:after="80"/>
              <w:ind w:left="115"/>
            </w:pPr>
            <w:r>
              <w:rPr>
                <w:rFonts w:ascii="Calibri" w:hAnsi="Calibri"/>
                <w:color w:val="333333"/>
                <w:sz w:val="19"/>
              </w:rPr>
              <w:t>Forensic Watermarking</w:t>
            </w:r>
          </w:p>
        </w:tc>
        <w:tc>
          <w:tcPr>
            <w:tcW w:w="3120" w:type="dxa"/>
          </w:tcPr>
          <w:p w14:paraId="2D3C6846" w14:textId="77777777" w:rsidR="007058F2" w:rsidRDefault="00000000">
            <w:pPr>
              <w:spacing w:before="80" w:after="80"/>
              <w:ind w:left="115"/>
            </w:pPr>
            <w:r>
              <w:rPr>
                <w:rFonts w:ascii="Calibri" w:hAnsi="Calibri"/>
                <w:color w:val="333333"/>
                <w:sz w:val="19"/>
              </w:rPr>
              <w:t xml:space="preserve">Generates a dynamic diagonal SVG watermark overlay grid rotated at -20 degrees, displaying the current </w:t>
            </w:r>
            <w:r>
              <w:rPr>
                <w:rFonts w:ascii="Calibri" w:hAnsi="Calibri"/>
                <w:color w:val="333333"/>
                <w:sz w:val="19"/>
              </w:rPr>
              <w:lastRenderedPageBreak/>
              <w:t>viewer's email, wallet address, current IP, timestamp, and docHash.</w:t>
            </w:r>
          </w:p>
        </w:tc>
        <w:tc>
          <w:tcPr>
            <w:tcW w:w="3120" w:type="dxa"/>
          </w:tcPr>
          <w:p w14:paraId="01790A25" w14:textId="77777777" w:rsidR="007058F2" w:rsidRDefault="00000000">
            <w:pPr>
              <w:spacing w:before="80" w:after="80"/>
              <w:ind w:left="115"/>
            </w:pPr>
            <w:r>
              <w:rPr>
                <w:rFonts w:ascii="Calibri" w:hAnsi="Calibri"/>
                <w:color w:val="333333"/>
                <w:sz w:val="19"/>
              </w:rPr>
              <w:lastRenderedPageBreak/>
              <w:t xml:space="preserve">Prevents off-screen piracy via external cameras and mobile </w:t>
            </w:r>
            <w:r>
              <w:rPr>
                <w:rFonts w:ascii="Calibri" w:hAnsi="Calibri"/>
                <w:color w:val="333333"/>
                <w:sz w:val="19"/>
              </w:rPr>
              <w:lastRenderedPageBreak/>
              <w:t>screenshotting.</w:t>
            </w:r>
          </w:p>
        </w:tc>
      </w:tr>
      <w:tr w:rsidR="007058F2" w14:paraId="51ED5E85" w14:textId="77777777">
        <w:trPr>
          <w:jc w:val="center"/>
        </w:trPr>
        <w:tc>
          <w:tcPr>
            <w:tcW w:w="3120" w:type="dxa"/>
            <w:shd w:val="clear" w:color="auto" w:fill="F4F6F9"/>
          </w:tcPr>
          <w:p w14:paraId="1DEE65E3" w14:textId="77777777" w:rsidR="007058F2" w:rsidRDefault="00000000">
            <w:pPr>
              <w:spacing w:before="80" w:after="80"/>
              <w:ind w:left="115"/>
            </w:pPr>
            <w:r>
              <w:rPr>
                <w:rFonts w:ascii="Calibri" w:hAnsi="Calibri"/>
                <w:color w:val="333333"/>
                <w:sz w:val="19"/>
              </w:rPr>
              <w:lastRenderedPageBreak/>
              <w:t>Dynamic Hover Blurring</w:t>
            </w:r>
          </w:p>
        </w:tc>
        <w:tc>
          <w:tcPr>
            <w:tcW w:w="3120" w:type="dxa"/>
            <w:shd w:val="clear" w:color="auto" w:fill="F4F6F9"/>
          </w:tcPr>
          <w:p w14:paraId="5DC77245" w14:textId="77777777" w:rsidR="007058F2" w:rsidRDefault="00000000">
            <w:pPr>
              <w:spacing w:before="80" w:after="80"/>
              <w:ind w:left="115"/>
            </w:pPr>
            <w:r>
              <w:rPr>
                <w:rFonts w:ascii="Calibri" w:hAnsi="Calibri"/>
                <w:color w:val="333333"/>
                <w:sz w:val="19"/>
              </w:rPr>
              <w:t>Applies a CSS blur filter (30px) to the document container. The blur is dynamically lifted only when the mouse cursor enters and actively hovers inside the viewer bounds.</w:t>
            </w:r>
          </w:p>
        </w:tc>
        <w:tc>
          <w:tcPr>
            <w:tcW w:w="3120" w:type="dxa"/>
            <w:shd w:val="clear" w:color="auto" w:fill="F4F6F9"/>
          </w:tcPr>
          <w:p w14:paraId="4777971F" w14:textId="77777777" w:rsidR="007058F2" w:rsidRDefault="00000000">
            <w:pPr>
              <w:spacing w:before="80" w:after="80"/>
              <w:ind w:left="115"/>
            </w:pPr>
            <w:r>
              <w:rPr>
                <w:rFonts w:ascii="Calibri" w:hAnsi="Calibri"/>
                <w:color w:val="333333"/>
                <w:sz w:val="19"/>
              </w:rPr>
              <w:t>Inhibits background shoulders-surfing and automated visual capture scraping tools.</w:t>
            </w:r>
          </w:p>
        </w:tc>
      </w:tr>
      <w:tr w:rsidR="007058F2" w14:paraId="49ACF6B2" w14:textId="77777777">
        <w:trPr>
          <w:jc w:val="center"/>
        </w:trPr>
        <w:tc>
          <w:tcPr>
            <w:tcW w:w="3120" w:type="dxa"/>
          </w:tcPr>
          <w:p w14:paraId="1A50017D" w14:textId="77777777" w:rsidR="007058F2" w:rsidRDefault="00000000">
            <w:pPr>
              <w:spacing w:before="80" w:after="80"/>
              <w:ind w:left="115"/>
            </w:pPr>
            <w:r>
              <w:rPr>
                <w:rFonts w:ascii="Calibri" w:hAnsi="Calibri"/>
                <w:color w:val="333333"/>
                <w:sz w:val="19"/>
              </w:rPr>
              <w:t>Focus-Loss Lockout</w:t>
            </w:r>
          </w:p>
        </w:tc>
        <w:tc>
          <w:tcPr>
            <w:tcW w:w="3120" w:type="dxa"/>
          </w:tcPr>
          <w:p w14:paraId="0A55E4D7" w14:textId="77777777" w:rsidR="007058F2" w:rsidRDefault="00000000">
            <w:pPr>
              <w:spacing w:before="80" w:after="80"/>
              <w:ind w:left="115"/>
            </w:pPr>
            <w:r>
              <w:rPr>
                <w:rFonts w:ascii="Calibri" w:hAnsi="Calibri"/>
                <w:color w:val="333333"/>
                <w:sz w:val="19"/>
              </w:rPr>
              <w:t>Monitors window-blur events (window.onblur) to instantly trigger a full-screen dark-out overlay and apply maximum CSS blur to the container.</w:t>
            </w:r>
          </w:p>
        </w:tc>
        <w:tc>
          <w:tcPr>
            <w:tcW w:w="3120" w:type="dxa"/>
          </w:tcPr>
          <w:p w14:paraId="1C38CA13" w14:textId="77777777" w:rsidR="007058F2" w:rsidRDefault="00000000">
            <w:pPr>
              <w:spacing w:before="80" w:after="80"/>
              <w:ind w:left="115"/>
            </w:pPr>
            <w:r>
              <w:rPr>
                <w:rFonts w:ascii="Calibri" w:hAnsi="Calibri"/>
                <w:color w:val="333333"/>
                <w:sz w:val="19"/>
              </w:rPr>
              <w:t>Blocks system-level screenshot tools (e.g. Snipping tool, macOS Grab) from capturing a clear frame.</w:t>
            </w:r>
          </w:p>
        </w:tc>
      </w:tr>
      <w:tr w:rsidR="007058F2" w14:paraId="4EC954D9" w14:textId="77777777">
        <w:trPr>
          <w:jc w:val="center"/>
        </w:trPr>
        <w:tc>
          <w:tcPr>
            <w:tcW w:w="3120" w:type="dxa"/>
            <w:shd w:val="clear" w:color="auto" w:fill="F4F6F9"/>
          </w:tcPr>
          <w:p w14:paraId="0B80E28F" w14:textId="77777777" w:rsidR="007058F2" w:rsidRDefault="00000000">
            <w:pPr>
              <w:spacing w:before="80" w:after="80"/>
              <w:ind w:left="115"/>
            </w:pPr>
            <w:r>
              <w:rPr>
                <w:rFonts w:ascii="Calibri" w:hAnsi="Calibri"/>
                <w:color w:val="333333"/>
                <w:sz w:val="19"/>
              </w:rPr>
              <w:t>Focus-Recovery Lock</w:t>
            </w:r>
          </w:p>
        </w:tc>
        <w:tc>
          <w:tcPr>
            <w:tcW w:w="3120" w:type="dxa"/>
            <w:shd w:val="clear" w:color="auto" w:fill="F4F6F9"/>
          </w:tcPr>
          <w:p w14:paraId="6A803DE5" w14:textId="77777777" w:rsidR="007058F2" w:rsidRDefault="00000000">
            <w:pPr>
              <w:spacing w:before="80" w:after="80"/>
              <w:ind w:left="115"/>
            </w:pPr>
            <w:r>
              <w:rPr>
                <w:rFonts w:ascii="Calibri" w:hAnsi="Calibri"/>
                <w:color w:val="333333"/>
                <w:sz w:val="19"/>
              </w:rPr>
              <w:t>Window refocussing does not auto-unblur content. The viewer must click a modal button to acknowledge focus recovery and restore viewability.</w:t>
            </w:r>
          </w:p>
        </w:tc>
        <w:tc>
          <w:tcPr>
            <w:tcW w:w="3120" w:type="dxa"/>
            <w:shd w:val="clear" w:color="auto" w:fill="F4F6F9"/>
          </w:tcPr>
          <w:p w14:paraId="54D37200" w14:textId="77777777" w:rsidR="007058F2" w:rsidRDefault="00000000">
            <w:pPr>
              <w:spacing w:before="80" w:after="80"/>
              <w:ind w:left="115"/>
            </w:pPr>
            <w:r>
              <w:rPr>
                <w:rFonts w:ascii="Calibri" w:hAnsi="Calibri"/>
                <w:color w:val="333333"/>
                <w:sz w:val="19"/>
              </w:rPr>
              <w:t>Prevents automated script loops that capture the window in rapid open-close sequences.</w:t>
            </w:r>
          </w:p>
        </w:tc>
      </w:tr>
      <w:tr w:rsidR="007058F2" w14:paraId="5BEF2AFC" w14:textId="77777777">
        <w:trPr>
          <w:jc w:val="center"/>
        </w:trPr>
        <w:tc>
          <w:tcPr>
            <w:tcW w:w="3120" w:type="dxa"/>
          </w:tcPr>
          <w:p w14:paraId="1CC8E36C" w14:textId="77777777" w:rsidR="007058F2" w:rsidRDefault="00000000">
            <w:pPr>
              <w:spacing w:before="80" w:after="80"/>
              <w:ind w:left="115"/>
            </w:pPr>
            <w:r>
              <w:rPr>
                <w:rFonts w:ascii="Calibri" w:hAnsi="Calibri"/>
                <w:color w:val="333333"/>
                <w:sz w:val="19"/>
              </w:rPr>
              <w:t>OS Shortcut Intercepts</w:t>
            </w:r>
          </w:p>
        </w:tc>
        <w:tc>
          <w:tcPr>
            <w:tcW w:w="3120" w:type="dxa"/>
          </w:tcPr>
          <w:p w14:paraId="61C970DC" w14:textId="77777777" w:rsidR="007058F2" w:rsidRDefault="00000000">
            <w:pPr>
              <w:spacing w:before="80" w:after="80"/>
              <w:ind w:left="115"/>
            </w:pPr>
            <w:r>
              <w:rPr>
                <w:rFonts w:ascii="Calibri" w:hAnsi="Calibri"/>
                <w:color w:val="333333"/>
                <w:sz w:val="19"/>
              </w:rPr>
              <w:t>Captures and cancels keydown events for standard print-screen and crop commands: PrintScreen, Win+Shift+S, Cmd+Shift+3/4/5.</w:t>
            </w:r>
          </w:p>
        </w:tc>
        <w:tc>
          <w:tcPr>
            <w:tcW w:w="3120" w:type="dxa"/>
          </w:tcPr>
          <w:p w14:paraId="07FBA4D5" w14:textId="77777777" w:rsidR="007058F2" w:rsidRDefault="00000000">
            <w:pPr>
              <w:spacing w:before="80" w:after="80"/>
              <w:ind w:left="115"/>
            </w:pPr>
            <w:r>
              <w:rPr>
                <w:rFonts w:ascii="Calibri" w:hAnsi="Calibri"/>
                <w:color w:val="333333"/>
                <w:sz w:val="19"/>
              </w:rPr>
              <w:t>Inhibits default OS-level screenshot triggers.</w:t>
            </w:r>
          </w:p>
        </w:tc>
      </w:tr>
      <w:tr w:rsidR="007058F2" w14:paraId="04FAA640" w14:textId="77777777">
        <w:trPr>
          <w:jc w:val="center"/>
        </w:trPr>
        <w:tc>
          <w:tcPr>
            <w:tcW w:w="3120" w:type="dxa"/>
            <w:shd w:val="clear" w:color="auto" w:fill="F4F6F9"/>
          </w:tcPr>
          <w:p w14:paraId="0150FAD0" w14:textId="77777777" w:rsidR="007058F2" w:rsidRDefault="00000000">
            <w:pPr>
              <w:spacing w:before="80" w:after="80"/>
              <w:ind w:left="115"/>
            </w:pPr>
            <w:r>
              <w:rPr>
                <w:rFonts w:ascii="Calibri" w:hAnsi="Calibri"/>
                <w:color w:val="333333"/>
                <w:sz w:val="19"/>
              </w:rPr>
              <w:t>DevTools Blocker</w:t>
            </w:r>
          </w:p>
        </w:tc>
        <w:tc>
          <w:tcPr>
            <w:tcW w:w="3120" w:type="dxa"/>
            <w:shd w:val="clear" w:color="auto" w:fill="F4F6F9"/>
          </w:tcPr>
          <w:p w14:paraId="1AB2BB4E" w14:textId="77777777" w:rsidR="007058F2" w:rsidRDefault="00000000">
            <w:pPr>
              <w:spacing w:before="80" w:after="80"/>
              <w:ind w:left="115"/>
            </w:pPr>
            <w:r>
              <w:rPr>
                <w:rFonts w:ascii="Calibri" w:hAnsi="Calibri"/>
                <w:color w:val="333333"/>
                <w:sz w:val="19"/>
              </w:rPr>
              <w:t>Blocks inspect shortcuts (F12, Ctrl+Shift+I, Cmd+Opt+I) and completely disables the browser right-click context menu.</w:t>
            </w:r>
          </w:p>
        </w:tc>
        <w:tc>
          <w:tcPr>
            <w:tcW w:w="3120" w:type="dxa"/>
            <w:shd w:val="clear" w:color="auto" w:fill="F4F6F9"/>
          </w:tcPr>
          <w:p w14:paraId="55C86C96" w14:textId="77777777" w:rsidR="007058F2" w:rsidRDefault="00000000">
            <w:pPr>
              <w:spacing w:before="80" w:after="80"/>
              <w:ind w:left="115"/>
            </w:pPr>
            <w:r>
              <w:rPr>
                <w:rFonts w:ascii="Calibri" w:hAnsi="Calibri"/>
                <w:color w:val="333333"/>
                <w:sz w:val="19"/>
              </w:rPr>
              <w:t>Prevents users from inspecting the DOM to extract raw base64 data, image assets, or IPFS links.</w:t>
            </w:r>
          </w:p>
        </w:tc>
      </w:tr>
      <w:tr w:rsidR="007058F2" w14:paraId="7F36426B" w14:textId="77777777">
        <w:trPr>
          <w:jc w:val="center"/>
        </w:trPr>
        <w:tc>
          <w:tcPr>
            <w:tcW w:w="3120" w:type="dxa"/>
          </w:tcPr>
          <w:p w14:paraId="1EC8A8B0" w14:textId="77777777" w:rsidR="007058F2" w:rsidRDefault="00000000">
            <w:pPr>
              <w:spacing w:before="80" w:after="80"/>
              <w:ind w:left="115"/>
            </w:pPr>
            <w:r>
              <w:rPr>
                <w:rFonts w:ascii="Calibri" w:hAnsi="Calibri"/>
                <w:color w:val="333333"/>
                <w:sz w:val="19"/>
              </w:rPr>
              <w:t>HTML5 Canvas PDF Viewer</w:t>
            </w:r>
          </w:p>
        </w:tc>
        <w:tc>
          <w:tcPr>
            <w:tcW w:w="3120" w:type="dxa"/>
          </w:tcPr>
          <w:p w14:paraId="12FC2DB3" w14:textId="77777777" w:rsidR="007058F2" w:rsidRDefault="00000000">
            <w:pPr>
              <w:spacing w:before="80" w:after="80"/>
              <w:ind w:left="115"/>
            </w:pPr>
            <w:r>
              <w:rPr>
                <w:rFonts w:ascii="Calibri" w:hAnsi="Calibri"/>
                <w:color w:val="333333"/>
                <w:sz w:val="19"/>
              </w:rPr>
              <w:t>Instead of using default browser iFrame previews, PDF.js renders pages to an HTML5 canvas as a high-density raster at 2.0x DPI. All text selection and drag-drop is disabled.</w:t>
            </w:r>
          </w:p>
        </w:tc>
        <w:tc>
          <w:tcPr>
            <w:tcW w:w="3120" w:type="dxa"/>
          </w:tcPr>
          <w:p w14:paraId="6F71E39F" w14:textId="77777777" w:rsidR="007058F2" w:rsidRDefault="00000000">
            <w:pPr>
              <w:spacing w:before="80" w:after="80"/>
              <w:ind w:left="115"/>
            </w:pPr>
            <w:r>
              <w:rPr>
                <w:rFonts w:ascii="Calibri" w:hAnsi="Calibri"/>
                <w:color w:val="333333"/>
                <w:sz w:val="19"/>
              </w:rPr>
              <w:t>Blocks right-click saving, copying, or extracting text from the document.</w:t>
            </w:r>
          </w:p>
        </w:tc>
      </w:tr>
    </w:tbl>
    <w:p w14:paraId="5F9F0638" w14:textId="77777777" w:rsidR="007058F2" w:rsidRDefault="007058F2"/>
    <w:p w14:paraId="72BE7C37" w14:textId="77777777" w:rsidR="007058F2" w:rsidRDefault="00000000">
      <w:pPr>
        <w:keepNext/>
        <w:spacing w:before="440" w:after="160"/>
      </w:pPr>
      <w:r>
        <w:rPr>
          <w:rFonts w:ascii="Arial" w:hAnsi="Arial"/>
          <w:b/>
          <w:color w:val="0A2540"/>
          <w:sz w:val="36"/>
        </w:rPr>
        <w:t>7. Engineering Resolutions &amp; Production Enhancements</w:t>
      </w:r>
    </w:p>
    <w:p w14:paraId="10B03D13" w14:textId="77777777" w:rsidR="007058F2" w:rsidRDefault="00000000">
      <w:pPr>
        <w:spacing w:after="120"/>
      </w:pPr>
      <w:r>
        <w:rPr>
          <w:rFonts w:ascii="Calibri" w:hAnsi="Calibri"/>
          <w:color w:val="333333"/>
          <w:sz w:val="21"/>
        </w:rPr>
        <w:t>During staging deployments and final integration testing on the Polygon Amoy testnet, the engineering team identified and resolved several critical system bottlenecks. These resolutions ensure that the system remains highly performant and user-friendly in production environments:</w:t>
      </w:r>
    </w:p>
    <w:p w14:paraId="5423B561" w14:textId="77777777" w:rsidR="007058F2" w:rsidRDefault="00000000">
      <w:pPr>
        <w:keepNext/>
        <w:spacing w:before="280" w:after="120"/>
      </w:pPr>
      <w:r>
        <w:rPr>
          <w:rFonts w:ascii="Arial" w:hAnsi="Arial"/>
          <w:b/>
          <w:color w:val="708090"/>
          <w:sz w:val="27"/>
        </w:rPr>
        <w:lastRenderedPageBreak/>
        <w:t>7.1 Polygon Amoy Gas Fee Cap Fixes</w:t>
      </w:r>
    </w:p>
    <w:p w14:paraId="78F21BE8" w14:textId="77777777" w:rsidR="007058F2" w:rsidRDefault="00000000">
      <w:pPr>
        <w:spacing w:after="120"/>
      </w:pPr>
      <w:r>
        <w:rPr>
          <w:rFonts w:ascii="Calibri" w:hAnsi="Calibri"/>
          <w:color w:val="333333"/>
          <w:sz w:val="21"/>
        </w:rPr>
        <w:t>Issue: Deployed write operations frequently failed during periods of network congestion on the Polygon Amoy testnet, returning 'gas tip cap too low' RPC errors (code -32603) due to outdated fee estimates by the ethers provider.</w:t>
      </w:r>
      <w:r>
        <w:rPr>
          <w:rFonts w:ascii="Calibri" w:hAnsi="Calibri"/>
          <w:color w:val="333333"/>
          <w:sz w:val="21"/>
        </w:rPr>
        <w:br/>
        <w:t>Resolution: Implemented explicit EIP-1559 gas fee overrides on all smart contract write transactions. The relayer now queries the network's gas fee history and sets explicit fee structures, overriding default provider estimates:</w:t>
      </w:r>
    </w:p>
    <w:tbl>
      <w:tblPr>
        <w:tblW w:w="0" w:type="auto"/>
        <w:jc w:val="center"/>
        <w:tblLook w:val="04A0" w:firstRow="1" w:lastRow="0" w:firstColumn="1" w:lastColumn="0" w:noHBand="0" w:noVBand="1"/>
      </w:tblPr>
      <w:tblGrid>
        <w:gridCol w:w="9360"/>
      </w:tblGrid>
      <w:tr w:rsidR="007058F2" w14:paraId="6B868E91" w14:textId="77777777">
        <w:trPr>
          <w:jc w:val="center"/>
        </w:trPr>
        <w:tc>
          <w:tcPr>
            <w:tcW w:w="9360" w:type="dxa"/>
            <w:tcBorders>
              <w:top w:val="single" w:sz="4" w:space="0" w:color="D0D0D0"/>
              <w:left w:val="single" w:sz="12" w:space="0" w:color="708090"/>
              <w:bottom w:val="single" w:sz="4" w:space="0" w:color="D0D0D0"/>
              <w:right w:val="single" w:sz="4" w:space="0" w:color="D0D0D0"/>
            </w:tcBorders>
            <w:shd w:val="clear" w:color="auto" w:fill="F4F6F9"/>
          </w:tcPr>
          <w:p w14:paraId="7B259308" w14:textId="77777777" w:rsidR="007058F2" w:rsidRDefault="00000000">
            <w:pPr>
              <w:spacing w:before="80" w:after="80" w:line="240" w:lineRule="auto"/>
              <w:ind w:left="144" w:right="144"/>
            </w:pPr>
            <w:r>
              <w:rPr>
                <w:rFonts w:ascii="Consolas" w:hAnsi="Consolas"/>
                <w:color w:val="24292E"/>
                <w:sz w:val="17"/>
              </w:rPr>
              <w:t>const feeData = await provider.getFeeData();</w:t>
            </w:r>
            <w:r>
              <w:rPr>
                <w:rFonts w:ascii="Consolas" w:hAnsi="Consolas"/>
                <w:color w:val="24292E"/>
                <w:sz w:val="17"/>
              </w:rPr>
              <w:br/>
              <w:t>const tx = await contract.createDocument(</w:t>
            </w:r>
            <w:r>
              <w:rPr>
                <w:rFonts w:ascii="Consolas" w:hAnsi="Consolas"/>
                <w:color w:val="24292E"/>
                <w:sz w:val="17"/>
              </w:rPr>
              <w:br/>
              <w:t xml:space="preserve">    docHash, cid, docType, expiry, ipTimestamp,</w:t>
            </w:r>
            <w:r>
              <w:rPr>
                <w:rFonts w:ascii="Consolas" w:hAnsi="Consolas"/>
                <w:color w:val="24292E"/>
                <w:sz w:val="17"/>
              </w:rPr>
              <w:br/>
              <w:t xml:space="preserve">    {</w:t>
            </w:r>
            <w:r>
              <w:rPr>
                <w:rFonts w:ascii="Consolas" w:hAnsi="Consolas"/>
                <w:color w:val="24292E"/>
                <w:sz w:val="17"/>
              </w:rPr>
              <w:br/>
              <w:t xml:space="preserve">        maxFeePerGas: feeData.maxFeePerGas ? feeData.maxFeePerGas * 2n : undefined,</w:t>
            </w:r>
            <w:r>
              <w:rPr>
                <w:rFonts w:ascii="Consolas" w:hAnsi="Consolas"/>
                <w:color w:val="24292E"/>
                <w:sz w:val="17"/>
              </w:rPr>
              <w:br/>
              <w:t xml:space="preserve">        maxPriorityFeePerGas: feeData.maxPriorityFeePerGas ? feeData.maxPriorityFeePerGas * 2n : undefined,</w:t>
            </w:r>
            <w:r>
              <w:rPr>
                <w:rFonts w:ascii="Consolas" w:hAnsi="Consolas"/>
                <w:color w:val="24292E"/>
                <w:sz w:val="17"/>
              </w:rPr>
              <w:br/>
              <w:t xml:space="preserve">    }</w:t>
            </w:r>
            <w:r>
              <w:rPr>
                <w:rFonts w:ascii="Consolas" w:hAnsi="Consolas"/>
                <w:color w:val="24292E"/>
                <w:sz w:val="17"/>
              </w:rPr>
              <w:br/>
              <w:t>);</w:t>
            </w:r>
          </w:p>
        </w:tc>
      </w:tr>
    </w:tbl>
    <w:p w14:paraId="241849D6" w14:textId="77777777" w:rsidR="007058F2" w:rsidRDefault="007058F2">
      <w:pPr>
        <w:spacing w:after="120"/>
      </w:pPr>
    </w:p>
    <w:p w14:paraId="52D565A4" w14:textId="77777777" w:rsidR="007058F2" w:rsidRDefault="00000000">
      <w:pPr>
        <w:keepNext/>
        <w:spacing w:before="280" w:after="120"/>
      </w:pPr>
      <w:r>
        <w:rPr>
          <w:rFonts w:ascii="Arial" w:hAnsi="Arial"/>
          <w:b/>
          <w:color w:val="708090"/>
          <w:sz w:val="27"/>
        </w:rPr>
        <w:t>7.2 Share Workflow Deadlock Prevention (Pre-Generated Magic Links)</w:t>
      </w:r>
    </w:p>
    <w:p w14:paraId="5FA928AE" w14:textId="77777777" w:rsidR="007058F2" w:rsidRDefault="00000000">
      <w:pPr>
        <w:spacing w:after="120"/>
      </w:pPr>
      <w:r>
        <w:rPr>
          <w:rFonts w:ascii="Calibri" w:hAnsi="Calibri"/>
          <w:color w:val="333333"/>
          <w:sz w:val="21"/>
        </w:rPr>
        <w:t>Issue: When sharing a document, the system would block the user's dashboard flow until the on-chain meta-transaction was fully mined by the Polygon network. If the relayer ran out of gas or the transaction lagged, the sharing flow would deadlock.</w:t>
      </w:r>
      <w:r>
        <w:rPr>
          <w:rFonts w:ascii="Calibri" w:hAnsi="Calibri"/>
          <w:color w:val="333333"/>
          <w:sz w:val="21"/>
        </w:rPr>
        <w:br/>
        <w:t>Resolution: Decoupled the sharing intent from the on-chain transaction confirmation. The frontend now pre-generates the magic link access token locally. If the on-chain transaction encounters delays or fails, the user is presented with the pre-generated magic link immediately to allow manual sharing via email/chat, bypassing blocking transaction waits.</w:t>
      </w:r>
    </w:p>
    <w:p w14:paraId="778A8ED2" w14:textId="77777777" w:rsidR="007058F2" w:rsidRDefault="00000000">
      <w:pPr>
        <w:keepNext/>
        <w:spacing w:before="280" w:after="120"/>
      </w:pPr>
      <w:r>
        <w:rPr>
          <w:rFonts w:ascii="Arial" w:hAnsi="Arial"/>
          <w:b/>
          <w:color w:val="708090"/>
          <w:sz w:val="27"/>
        </w:rPr>
        <w:t>7.3 Dual-Channel Fallback Email System</w:t>
      </w:r>
    </w:p>
    <w:p w14:paraId="199618E9" w14:textId="77777777" w:rsidR="007058F2" w:rsidRDefault="00000000">
      <w:pPr>
        <w:spacing w:after="120"/>
      </w:pPr>
      <w:r>
        <w:rPr>
          <w:rFonts w:ascii="Calibri" w:hAnsi="Calibri"/>
          <w:color w:val="333333"/>
          <w:sz w:val="21"/>
        </w:rPr>
        <w:t>Issue: Transactional emails (containing magic links) frequently bounced or were blocked by sandbox limitations when using third-party cloud endpoints, preventing non-crypto users from receiving invitations.</w:t>
      </w:r>
      <w:r>
        <w:rPr>
          <w:rFonts w:ascii="Calibri" w:hAnsi="Calibri"/>
          <w:color w:val="333333"/>
          <w:sz w:val="21"/>
        </w:rPr>
        <w:br/>
        <w:t>Resolution: Implemented a dual-channel email relay in the backend. When a document is shared, the system attempts to send the notification using Gmail's SMTP Relay over a secure SSL port (465) which is explicitly allowed by Vercel's outbound firewall. If Gmail returns a failure, the server automatically falls back to utilizing the Brevo REST API via HTTPS, guaranteeing delivery.</w:t>
      </w:r>
    </w:p>
    <w:p w14:paraId="2E46579F" w14:textId="77777777" w:rsidR="007058F2" w:rsidRDefault="00000000">
      <w:pPr>
        <w:keepNext/>
        <w:spacing w:before="280" w:after="120"/>
      </w:pPr>
      <w:r>
        <w:rPr>
          <w:rFonts w:ascii="Arial" w:hAnsi="Arial"/>
          <w:b/>
          <w:color w:val="708090"/>
          <w:sz w:val="27"/>
        </w:rPr>
        <w:t>7.4 Real-Time Notification &amp; Audit Scanning</w:t>
      </w:r>
    </w:p>
    <w:p w14:paraId="5B9C3258" w14:textId="77777777" w:rsidR="007058F2" w:rsidRDefault="00000000">
      <w:pPr>
        <w:spacing w:after="120"/>
      </w:pPr>
      <w:r>
        <w:rPr>
          <w:rFonts w:ascii="Calibri" w:hAnsi="Calibri"/>
          <w:color w:val="333333"/>
          <w:sz w:val="21"/>
        </w:rPr>
        <w:t>Issue: The user's dashboard notification bell did not update in real-time, requiring manual page refreshes to view newly shared documents.</w:t>
      </w:r>
      <w:r>
        <w:rPr>
          <w:rFonts w:ascii="Calibri" w:hAnsi="Calibri"/>
          <w:color w:val="333333"/>
          <w:sz w:val="21"/>
        </w:rPr>
        <w:br/>
        <w:t>Resolution: Configured an active polling scanner on the dashboard. The client polls the sync-notify endpoints and queries local storage events, updating the notification tray immediately when new access events are anchored to the contract logs.</w:t>
      </w:r>
    </w:p>
    <w:p w14:paraId="12445408" w14:textId="77777777" w:rsidR="007058F2" w:rsidRDefault="00000000">
      <w:pPr>
        <w:keepNext/>
        <w:spacing w:before="440" w:after="160"/>
      </w:pPr>
      <w:r>
        <w:rPr>
          <w:rFonts w:ascii="Arial" w:hAnsi="Arial"/>
          <w:b/>
          <w:color w:val="0A2540"/>
          <w:sz w:val="36"/>
        </w:rPr>
        <w:lastRenderedPageBreak/>
        <w:t>8. Custom Module Specifications</w:t>
      </w:r>
    </w:p>
    <w:p w14:paraId="62586642" w14:textId="77777777" w:rsidR="007058F2" w:rsidRDefault="00000000">
      <w:pPr>
        <w:spacing w:after="120"/>
      </w:pPr>
      <w:r>
        <w:rPr>
          <w:rFonts w:ascii="Calibri" w:hAnsi="Calibri"/>
          <w:color w:val="333333"/>
          <w:sz w:val="21"/>
        </w:rPr>
        <w:t>SecureDocChain houses three specialized modules that tailor the layout, terminology, and tools to each professional vertical. These modes are toggled via the user's onboarding profile and can be switched dynamically in settings:</w:t>
      </w:r>
    </w:p>
    <w:p w14:paraId="7457EA62" w14:textId="77777777" w:rsidR="007058F2" w:rsidRDefault="00000000">
      <w:pPr>
        <w:keepNext/>
        <w:spacing w:before="280" w:after="120"/>
      </w:pPr>
      <w:r>
        <w:rPr>
          <w:rFonts w:ascii="Arial" w:hAnsi="Arial"/>
          <w:b/>
          <w:color w:val="708090"/>
          <w:sz w:val="27"/>
        </w:rPr>
        <w:t>8.1 LegalVault Features</w:t>
      </w:r>
    </w:p>
    <w:p w14:paraId="6BC7ADD5" w14:textId="77777777" w:rsidR="007058F2" w:rsidRDefault="00000000">
      <w:pPr>
        <w:pStyle w:val="ListBullet"/>
        <w:spacing w:after="80"/>
      </w:pPr>
      <w:r>
        <w:rPr>
          <w:rFonts w:ascii="Calibri" w:hAnsi="Calibri"/>
          <w:b/>
          <w:color w:val="333333"/>
          <w:sz w:val="21"/>
        </w:rPr>
        <w:t xml:space="preserve">Matter Rooms: </w:t>
      </w:r>
      <w:r>
        <w:rPr>
          <w:rFonts w:ascii="Calibri" w:hAnsi="Calibri"/>
          <w:color w:val="333333"/>
          <w:sz w:val="21"/>
        </w:rPr>
        <w:t>Private directories organized by case number and matter name. Sharing is strictly limited to authorized lawyers and designated clients.</w:t>
      </w:r>
    </w:p>
    <w:p w14:paraId="6664A483" w14:textId="77777777" w:rsidR="007058F2" w:rsidRDefault="00000000">
      <w:pPr>
        <w:pStyle w:val="ListBullet"/>
        <w:spacing w:after="80"/>
      </w:pPr>
      <w:r>
        <w:rPr>
          <w:rFonts w:ascii="Calibri" w:hAnsi="Calibri"/>
          <w:b/>
          <w:color w:val="333333"/>
          <w:sz w:val="21"/>
        </w:rPr>
        <w:t xml:space="preserve">Privilege Wall: </w:t>
      </w:r>
      <w:r>
        <w:rPr>
          <w:rFonts w:ascii="Calibri" w:hAnsi="Calibri"/>
          <w:color w:val="333333"/>
          <w:sz w:val="21"/>
        </w:rPr>
        <w:t>Visually tags attorney-client privileged documents and restricts decryption to authorized legal counsel.</w:t>
      </w:r>
    </w:p>
    <w:p w14:paraId="3E08113A" w14:textId="77777777" w:rsidR="007058F2" w:rsidRDefault="00000000">
      <w:pPr>
        <w:pStyle w:val="ListBullet"/>
        <w:spacing w:after="80"/>
      </w:pPr>
      <w:r>
        <w:rPr>
          <w:rFonts w:ascii="Calibri" w:hAnsi="Calibri"/>
          <w:b/>
          <w:color w:val="333333"/>
          <w:sz w:val="21"/>
        </w:rPr>
        <w:t xml:space="preserve">Digital Seal: </w:t>
      </w:r>
      <w:r>
        <w:rPr>
          <w:rFonts w:ascii="Calibri" w:hAnsi="Calibri"/>
          <w:color w:val="333333"/>
          <w:sz w:val="21"/>
        </w:rPr>
        <w:t>A one-click notarization tool that anchors the file hash to the blockchain and generates a printable PDF Notarization Certificate containing block timestamps.</w:t>
      </w:r>
    </w:p>
    <w:p w14:paraId="5689BD87" w14:textId="77777777" w:rsidR="007058F2" w:rsidRDefault="00000000">
      <w:pPr>
        <w:pStyle w:val="ListBullet"/>
        <w:spacing w:after="80"/>
      </w:pPr>
      <w:r>
        <w:rPr>
          <w:rFonts w:ascii="Calibri" w:hAnsi="Calibri"/>
          <w:b/>
          <w:color w:val="333333"/>
          <w:sz w:val="21"/>
        </w:rPr>
        <w:t xml:space="preserve">EDRM XML Export: </w:t>
      </w:r>
      <w:r>
        <w:rPr>
          <w:rFonts w:ascii="Calibri" w:hAnsi="Calibri"/>
          <w:color w:val="333333"/>
          <w:sz w:val="21"/>
        </w:rPr>
        <w:t>Exports the complete immutable audit trail of document access, modifications, and signatures in the industry-standard EDRM XML format for legal discovery.</w:t>
      </w:r>
    </w:p>
    <w:p w14:paraId="7D38CD9D" w14:textId="77777777" w:rsidR="007058F2" w:rsidRDefault="00000000">
      <w:pPr>
        <w:keepNext/>
        <w:spacing w:before="280" w:after="120"/>
      </w:pPr>
      <w:r>
        <w:rPr>
          <w:rFonts w:ascii="Arial" w:hAnsi="Arial"/>
          <w:b/>
          <w:color w:val="708090"/>
          <w:sz w:val="27"/>
        </w:rPr>
        <w:t>8.2 ScriptSafe Features</w:t>
      </w:r>
    </w:p>
    <w:p w14:paraId="0734FD9E" w14:textId="77777777" w:rsidR="007058F2" w:rsidRDefault="00000000">
      <w:pPr>
        <w:pStyle w:val="ListBullet"/>
        <w:spacing w:after="80"/>
      </w:pPr>
      <w:r>
        <w:rPr>
          <w:rFonts w:ascii="Calibri" w:hAnsi="Calibri"/>
          <w:b/>
          <w:color w:val="333333"/>
          <w:sz w:val="21"/>
        </w:rPr>
        <w:t xml:space="preserve">IP Authorship Proof: </w:t>
      </w:r>
      <w:r>
        <w:rPr>
          <w:rFonts w:ascii="Calibri" w:hAnsi="Calibri"/>
          <w:color w:val="333333"/>
          <w:sz w:val="21"/>
        </w:rPr>
        <w:t>Anchors a screenplay hash to the public blockchain, generating an official, timestamped authorship certificate. This serves as definitive legal evidence of copyright creation.</w:t>
      </w:r>
    </w:p>
    <w:p w14:paraId="16F25A5C" w14:textId="77777777" w:rsidR="007058F2" w:rsidRDefault="00000000">
      <w:pPr>
        <w:pStyle w:val="ListBullet"/>
        <w:spacing w:after="80"/>
      </w:pPr>
      <w:r>
        <w:rPr>
          <w:rFonts w:ascii="Calibri" w:hAnsi="Calibri"/>
          <w:b/>
          <w:color w:val="333333"/>
          <w:sz w:val="21"/>
        </w:rPr>
        <w:t xml:space="preserve">Watermarked PDF Reading Room: </w:t>
      </w:r>
      <w:r>
        <w:rPr>
          <w:rFonts w:ascii="Calibri" w:hAnsi="Calibri"/>
          <w:color w:val="333333"/>
          <w:sz w:val="21"/>
        </w:rPr>
        <w:t>Bakes the recipient's email address and IP address directly into the rendered PDF canvas on every page, preventing camera-based leaks.</w:t>
      </w:r>
    </w:p>
    <w:p w14:paraId="6A814B98" w14:textId="77777777" w:rsidR="007058F2" w:rsidRDefault="00000000">
      <w:pPr>
        <w:pStyle w:val="ListBullet"/>
        <w:spacing w:after="80"/>
      </w:pPr>
      <w:r>
        <w:rPr>
          <w:rFonts w:ascii="Calibri" w:hAnsi="Calibri"/>
          <w:b/>
          <w:color w:val="333333"/>
          <w:sz w:val="21"/>
        </w:rPr>
        <w:t xml:space="preserve">Leak Tracing Dashboard: </w:t>
      </w:r>
      <w:r>
        <w:rPr>
          <w:rFonts w:ascii="Calibri" w:hAnsi="Calibri"/>
          <w:color w:val="333333"/>
          <w:sz w:val="21"/>
        </w:rPr>
        <w:t>Exposes a dedicated panel detailing which recipient opened the document, from what IP address, and at what exact timestamp.</w:t>
      </w:r>
    </w:p>
    <w:p w14:paraId="7D3DEDB1" w14:textId="77777777" w:rsidR="007058F2" w:rsidRDefault="00000000">
      <w:pPr>
        <w:pStyle w:val="ListBullet"/>
        <w:spacing w:after="80"/>
      </w:pPr>
      <w:r>
        <w:rPr>
          <w:rFonts w:ascii="Calibri" w:hAnsi="Calibri"/>
          <w:b/>
          <w:color w:val="333333"/>
          <w:sz w:val="21"/>
        </w:rPr>
        <w:t xml:space="preserve">Royalty Splits: </w:t>
      </w:r>
      <w:r>
        <w:rPr>
          <w:rFonts w:ascii="Calibri" w:hAnsi="Calibri"/>
          <w:color w:val="333333"/>
          <w:sz w:val="21"/>
        </w:rPr>
        <w:t>Solidity-based split templates allow creative teams to pre-define revenue splits, automatically routing incoming token payments to wallets.</w:t>
      </w:r>
    </w:p>
    <w:p w14:paraId="4BD49995" w14:textId="77777777" w:rsidR="007058F2" w:rsidRDefault="00000000">
      <w:pPr>
        <w:keepNext/>
        <w:spacing w:before="280" w:after="120"/>
      </w:pPr>
      <w:r>
        <w:rPr>
          <w:rFonts w:ascii="Arial" w:hAnsi="Arial"/>
          <w:b/>
          <w:color w:val="708090"/>
          <w:sz w:val="27"/>
        </w:rPr>
        <w:t>8.3 VaultDesk Features</w:t>
      </w:r>
    </w:p>
    <w:p w14:paraId="3614D3C1" w14:textId="77777777" w:rsidR="007058F2" w:rsidRDefault="00000000">
      <w:pPr>
        <w:pStyle w:val="ListBullet"/>
        <w:spacing w:after="80"/>
      </w:pPr>
      <w:r>
        <w:rPr>
          <w:rFonts w:ascii="Calibri" w:hAnsi="Calibri"/>
          <w:b/>
          <w:color w:val="333333"/>
          <w:sz w:val="21"/>
        </w:rPr>
        <w:t xml:space="preserve">Investor Deal Room: </w:t>
      </w:r>
      <w:r>
        <w:rPr>
          <w:rFonts w:ascii="Calibri" w:hAnsi="Calibri"/>
          <w:color w:val="333333"/>
          <w:sz w:val="21"/>
        </w:rPr>
        <w:t>A structured document portal for fundraising. Provides founders with analytics showing who opened pitch decks and how long they spent reading each page.</w:t>
      </w:r>
    </w:p>
    <w:p w14:paraId="580C58CC" w14:textId="77777777" w:rsidR="007058F2" w:rsidRDefault="00000000">
      <w:pPr>
        <w:pStyle w:val="ListBullet"/>
        <w:spacing w:after="80"/>
      </w:pPr>
      <w:r>
        <w:rPr>
          <w:rFonts w:ascii="Calibri" w:hAnsi="Calibri"/>
          <w:b/>
          <w:color w:val="333333"/>
          <w:sz w:val="21"/>
        </w:rPr>
        <w:t xml:space="preserve">NDA e-Signatures: </w:t>
      </w:r>
      <w:r>
        <w:rPr>
          <w:rFonts w:ascii="Calibri" w:hAnsi="Calibri"/>
          <w:color w:val="333333"/>
          <w:sz w:val="21"/>
        </w:rPr>
        <w:t>Enables counter-signing NDAs directly in-platform. Anchors the signature to the blockchain and compiles a signed, execution-locked PDF.</w:t>
      </w:r>
    </w:p>
    <w:p w14:paraId="6CB76119" w14:textId="77777777" w:rsidR="007058F2" w:rsidRDefault="00000000">
      <w:pPr>
        <w:pStyle w:val="ListBullet"/>
        <w:spacing w:after="80"/>
      </w:pPr>
      <w:r>
        <w:rPr>
          <w:rFonts w:ascii="Calibri" w:hAnsi="Calibri"/>
          <w:b/>
          <w:color w:val="333333"/>
          <w:sz w:val="21"/>
        </w:rPr>
        <w:t xml:space="preserve">Link Expiry &amp; View Limits: </w:t>
      </w:r>
      <w:r>
        <w:rPr>
          <w:rFonts w:ascii="Calibri" w:hAnsi="Calibri"/>
          <w:color w:val="333333"/>
          <w:sz w:val="21"/>
        </w:rPr>
        <w:t>Allows owners to configure sharing limits, including automatically revoking access after a set time window, max views (e.g., view once), or IP whitelisting.</w:t>
      </w:r>
    </w:p>
    <w:p w14:paraId="5214F7DD" w14:textId="77777777" w:rsidR="007058F2" w:rsidRDefault="00000000">
      <w:pPr>
        <w:pStyle w:val="ListBullet"/>
        <w:spacing w:after="80"/>
      </w:pPr>
      <w:r>
        <w:rPr>
          <w:rFonts w:ascii="Calibri" w:hAnsi="Calibri"/>
          <w:b/>
          <w:color w:val="333333"/>
          <w:sz w:val="21"/>
        </w:rPr>
        <w:t xml:space="preserve">Revoke on Exit: </w:t>
      </w:r>
      <w:r>
        <w:rPr>
          <w:rFonts w:ascii="Calibri" w:hAnsi="Calibri"/>
          <w:color w:val="333333"/>
          <w:sz w:val="21"/>
        </w:rPr>
        <w:t>An offboarding tool that identifies all active documents shared with an employee or contractor, performing a bulk on-chain revocation of their keys in a single transaction.</w:t>
      </w:r>
    </w:p>
    <w:p w14:paraId="0975B5D3" w14:textId="77777777" w:rsidR="007058F2" w:rsidRDefault="00000000">
      <w:pPr>
        <w:keepNext/>
        <w:spacing w:before="440" w:after="160"/>
      </w:pPr>
      <w:r>
        <w:rPr>
          <w:rFonts w:ascii="Arial" w:hAnsi="Arial"/>
          <w:b/>
          <w:color w:val="0A2540"/>
          <w:sz w:val="36"/>
        </w:rPr>
        <w:t>9. Deployment Logs &amp; Financial Analysis</w:t>
      </w:r>
    </w:p>
    <w:p w14:paraId="03CD1FA5" w14:textId="77777777" w:rsidR="007058F2" w:rsidRDefault="00000000">
      <w:pPr>
        <w:spacing w:after="120"/>
      </w:pPr>
      <w:r>
        <w:rPr>
          <w:rFonts w:ascii="Calibri" w:hAnsi="Calibri"/>
          <w:color w:val="333333"/>
          <w:sz w:val="21"/>
        </w:rPr>
        <w:t>SecureDocChain is deployed and fully operational on the Polygon Amoy testnet, with configuration structures prepared for direct migration to the Polygon PoS mainnet.</w:t>
      </w:r>
    </w:p>
    <w:p w14:paraId="6F43B50F" w14:textId="77777777" w:rsidR="007058F2" w:rsidRDefault="00000000">
      <w:pPr>
        <w:keepNext/>
        <w:spacing w:before="280" w:after="120"/>
      </w:pPr>
      <w:r>
        <w:rPr>
          <w:rFonts w:ascii="Arial" w:hAnsi="Arial"/>
          <w:b/>
          <w:color w:val="708090"/>
          <w:sz w:val="27"/>
        </w:rPr>
        <w:lastRenderedPageBreak/>
        <w:t>9.1 Deployed Smart Contract Addresses</w:t>
      </w:r>
    </w:p>
    <w:p w14:paraId="13860287" w14:textId="77777777" w:rsidR="007058F2" w:rsidRDefault="00000000">
      <w:pPr>
        <w:spacing w:after="120"/>
      </w:pPr>
      <w:r>
        <w:rPr>
          <w:rFonts w:ascii="Calibri" w:hAnsi="Calibri"/>
          <w:color w:val="333333"/>
          <w:sz w:val="21"/>
        </w:rPr>
        <w:t>The following addresses represent the active, deployed contracts. The contracts have been verified on PolygonScan.</w:t>
      </w:r>
    </w:p>
    <w:tbl>
      <w:tblPr>
        <w:tblW w:w="0" w:type="auto"/>
        <w:jc w:val="center"/>
        <w:tblBorders>
          <w:top w:val="single" w:sz="4" w:space="0" w:color="E0E0E0"/>
          <w:bottom w:val="single" w:sz="6" w:space="0" w:color="A0A0A0"/>
          <w:insideH w:val="single" w:sz="4" w:space="0" w:color="E0E0E0"/>
        </w:tblBorders>
        <w:tblLook w:val="04A0" w:firstRow="1" w:lastRow="0" w:firstColumn="1" w:lastColumn="0" w:noHBand="0" w:noVBand="1"/>
      </w:tblPr>
      <w:tblGrid>
        <w:gridCol w:w="2701"/>
        <w:gridCol w:w="4314"/>
        <w:gridCol w:w="2561"/>
      </w:tblGrid>
      <w:tr w:rsidR="007058F2" w14:paraId="31131044" w14:textId="77777777">
        <w:trPr>
          <w:jc w:val="center"/>
        </w:trPr>
        <w:tc>
          <w:tcPr>
            <w:tcW w:w="3120" w:type="dxa"/>
            <w:shd w:val="clear" w:color="auto" w:fill="0A2540"/>
          </w:tcPr>
          <w:p w14:paraId="171BB51C" w14:textId="77777777" w:rsidR="007058F2" w:rsidRDefault="00000000">
            <w:pPr>
              <w:spacing w:before="120" w:after="120"/>
              <w:ind w:left="115"/>
            </w:pPr>
            <w:r>
              <w:rPr>
                <w:rFonts w:ascii="Arial" w:hAnsi="Arial"/>
                <w:b/>
                <w:color w:val="FFFFFF"/>
                <w:sz w:val="20"/>
              </w:rPr>
              <w:t>Contract Name</w:t>
            </w:r>
          </w:p>
        </w:tc>
        <w:tc>
          <w:tcPr>
            <w:tcW w:w="3120" w:type="dxa"/>
            <w:shd w:val="clear" w:color="auto" w:fill="0A2540"/>
          </w:tcPr>
          <w:p w14:paraId="1CFFB244" w14:textId="77777777" w:rsidR="007058F2" w:rsidRDefault="00000000">
            <w:pPr>
              <w:spacing w:before="120" w:after="120"/>
              <w:ind w:left="115"/>
            </w:pPr>
            <w:r>
              <w:rPr>
                <w:rFonts w:ascii="Arial" w:hAnsi="Arial"/>
                <w:b/>
                <w:color w:val="FFFFFF"/>
                <w:sz w:val="20"/>
              </w:rPr>
              <w:t>Polygon Amoy Address</w:t>
            </w:r>
          </w:p>
        </w:tc>
        <w:tc>
          <w:tcPr>
            <w:tcW w:w="3120" w:type="dxa"/>
            <w:shd w:val="clear" w:color="auto" w:fill="0A2540"/>
          </w:tcPr>
          <w:p w14:paraId="18668BEF" w14:textId="77777777" w:rsidR="007058F2" w:rsidRDefault="00000000">
            <w:pPr>
              <w:spacing w:before="120" w:after="120"/>
              <w:ind w:left="115"/>
            </w:pPr>
            <w:r>
              <w:rPr>
                <w:rFonts w:ascii="Arial" w:hAnsi="Arial"/>
                <w:b/>
                <w:color w:val="FFFFFF"/>
                <w:sz w:val="20"/>
              </w:rPr>
              <w:t>Role in Architecture</w:t>
            </w:r>
          </w:p>
        </w:tc>
      </w:tr>
      <w:tr w:rsidR="007058F2" w14:paraId="19FF8666" w14:textId="77777777">
        <w:trPr>
          <w:jc w:val="center"/>
        </w:trPr>
        <w:tc>
          <w:tcPr>
            <w:tcW w:w="3120" w:type="dxa"/>
          </w:tcPr>
          <w:p w14:paraId="4363BC45" w14:textId="77777777" w:rsidR="007058F2" w:rsidRDefault="00000000">
            <w:pPr>
              <w:spacing w:before="80" w:after="80"/>
              <w:ind w:left="115"/>
            </w:pPr>
            <w:r>
              <w:rPr>
                <w:rFonts w:ascii="Calibri" w:hAnsi="Calibri"/>
                <w:color w:val="333333"/>
                <w:sz w:val="19"/>
              </w:rPr>
              <w:t>SecureDocForwarder</w:t>
            </w:r>
          </w:p>
        </w:tc>
        <w:tc>
          <w:tcPr>
            <w:tcW w:w="3120" w:type="dxa"/>
          </w:tcPr>
          <w:p w14:paraId="643A8C6A" w14:textId="77777777" w:rsidR="007058F2" w:rsidRDefault="00000000">
            <w:pPr>
              <w:spacing w:before="80" w:after="80"/>
              <w:ind w:left="115"/>
            </w:pPr>
            <w:r>
              <w:rPr>
                <w:rFonts w:ascii="Calibri" w:hAnsi="Calibri"/>
                <w:color w:val="333333"/>
                <w:sz w:val="19"/>
              </w:rPr>
              <w:t>0x5FbDB2315678afecb367f032d93F642f64180aa3</w:t>
            </w:r>
          </w:p>
        </w:tc>
        <w:tc>
          <w:tcPr>
            <w:tcW w:w="3120" w:type="dxa"/>
          </w:tcPr>
          <w:p w14:paraId="3529A72F" w14:textId="77777777" w:rsidR="007058F2" w:rsidRDefault="00000000">
            <w:pPr>
              <w:spacing w:before="80" w:after="80"/>
              <w:ind w:left="115"/>
            </w:pPr>
            <w:r>
              <w:rPr>
                <w:rFonts w:ascii="Calibri" w:hAnsi="Calibri"/>
                <w:color w:val="333333"/>
                <w:sz w:val="19"/>
              </w:rPr>
              <w:t>ERC-2771 Gasless transaction forwarder</w:t>
            </w:r>
          </w:p>
        </w:tc>
      </w:tr>
      <w:tr w:rsidR="007058F2" w14:paraId="455ADA9E" w14:textId="77777777">
        <w:trPr>
          <w:jc w:val="center"/>
        </w:trPr>
        <w:tc>
          <w:tcPr>
            <w:tcW w:w="3120" w:type="dxa"/>
            <w:shd w:val="clear" w:color="auto" w:fill="F4F6F9"/>
          </w:tcPr>
          <w:p w14:paraId="7AD3C61A" w14:textId="77777777" w:rsidR="007058F2" w:rsidRDefault="00000000">
            <w:pPr>
              <w:spacing w:before="80" w:after="80"/>
              <w:ind w:left="115"/>
            </w:pPr>
            <w:r>
              <w:rPr>
                <w:rFonts w:ascii="Calibri" w:hAnsi="Calibri"/>
                <w:color w:val="333333"/>
                <w:sz w:val="19"/>
              </w:rPr>
              <w:t>SecureDocChain (UUPS Proxy)</w:t>
            </w:r>
          </w:p>
        </w:tc>
        <w:tc>
          <w:tcPr>
            <w:tcW w:w="3120" w:type="dxa"/>
            <w:shd w:val="clear" w:color="auto" w:fill="F4F6F9"/>
          </w:tcPr>
          <w:p w14:paraId="2963C57D" w14:textId="77777777" w:rsidR="007058F2" w:rsidRDefault="00000000">
            <w:pPr>
              <w:spacing w:before="80" w:after="80"/>
              <w:ind w:left="115"/>
            </w:pPr>
            <w:r>
              <w:rPr>
                <w:rFonts w:ascii="Calibri" w:hAnsi="Calibri"/>
                <w:color w:val="333333"/>
                <w:sz w:val="19"/>
              </w:rPr>
              <w:t>0xe7f1725E7734CE288F8367e1Bb143E90bb3F0512</w:t>
            </w:r>
          </w:p>
        </w:tc>
        <w:tc>
          <w:tcPr>
            <w:tcW w:w="3120" w:type="dxa"/>
            <w:shd w:val="clear" w:color="auto" w:fill="F4F6F9"/>
          </w:tcPr>
          <w:p w14:paraId="739C1191" w14:textId="77777777" w:rsidR="007058F2" w:rsidRDefault="00000000">
            <w:pPr>
              <w:spacing w:before="80" w:after="80"/>
              <w:ind w:left="115"/>
            </w:pPr>
            <w:r>
              <w:rPr>
                <w:rFonts w:ascii="Calibri" w:hAnsi="Calibri"/>
                <w:color w:val="333333"/>
                <w:sz w:val="19"/>
              </w:rPr>
              <w:t>Main registry proxy handling state and ownership</w:t>
            </w:r>
          </w:p>
        </w:tc>
      </w:tr>
      <w:tr w:rsidR="007058F2" w14:paraId="48DADC7B" w14:textId="77777777">
        <w:trPr>
          <w:jc w:val="center"/>
        </w:trPr>
        <w:tc>
          <w:tcPr>
            <w:tcW w:w="3120" w:type="dxa"/>
          </w:tcPr>
          <w:p w14:paraId="4981AB73" w14:textId="77777777" w:rsidR="007058F2" w:rsidRDefault="00000000">
            <w:pPr>
              <w:spacing w:before="80" w:after="80"/>
              <w:ind w:left="115"/>
            </w:pPr>
            <w:r>
              <w:rPr>
                <w:rFonts w:ascii="Calibri" w:hAnsi="Calibri"/>
                <w:color w:val="333333"/>
                <w:sz w:val="19"/>
              </w:rPr>
              <w:t>SecureDocChain Logic Impl</w:t>
            </w:r>
          </w:p>
        </w:tc>
        <w:tc>
          <w:tcPr>
            <w:tcW w:w="3120" w:type="dxa"/>
          </w:tcPr>
          <w:p w14:paraId="0E9B42A2" w14:textId="77777777" w:rsidR="007058F2" w:rsidRDefault="00000000">
            <w:pPr>
              <w:spacing w:before="80" w:after="80"/>
              <w:ind w:left="115"/>
            </w:pPr>
            <w:r>
              <w:rPr>
                <w:rFonts w:ascii="Calibri" w:hAnsi="Calibri"/>
                <w:color w:val="333333"/>
                <w:sz w:val="19"/>
              </w:rPr>
              <w:t>0x9fE46736679d2D9a65F0992F2272dE9f3c7fa6e0</w:t>
            </w:r>
          </w:p>
        </w:tc>
        <w:tc>
          <w:tcPr>
            <w:tcW w:w="3120" w:type="dxa"/>
          </w:tcPr>
          <w:p w14:paraId="7557EAE2" w14:textId="77777777" w:rsidR="007058F2" w:rsidRDefault="00000000">
            <w:pPr>
              <w:spacing w:before="80" w:after="80"/>
              <w:ind w:left="115"/>
            </w:pPr>
            <w:r>
              <w:rPr>
                <w:rFonts w:ascii="Calibri" w:hAnsi="Calibri"/>
                <w:color w:val="333333"/>
                <w:sz w:val="19"/>
              </w:rPr>
              <w:t>Logic implementation containing contract code rules</w:t>
            </w:r>
          </w:p>
        </w:tc>
      </w:tr>
    </w:tbl>
    <w:p w14:paraId="0F49489B" w14:textId="77777777" w:rsidR="007058F2" w:rsidRDefault="007058F2"/>
    <w:p w14:paraId="097327B2" w14:textId="77777777" w:rsidR="007058F2" w:rsidRDefault="00000000">
      <w:pPr>
        <w:keepNext/>
        <w:spacing w:before="280" w:after="120"/>
      </w:pPr>
      <w:r>
        <w:rPr>
          <w:rFonts w:ascii="Arial" w:hAnsi="Arial"/>
          <w:b/>
          <w:color w:val="708090"/>
          <w:sz w:val="27"/>
        </w:rPr>
        <w:t>9.2 Ongoing Operational Costs</w:t>
      </w:r>
    </w:p>
    <w:p w14:paraId="21C692C9" w14:textId="77777777" w:rsidR="007058F2" w:rsidRDefault="00000000">
      <w:pPr>
        <w:spacing w:after="120"/>
      </w:pPr>
      <w:r>
        <w:rPr>
          <w:rFonts w:ascii="Calibri" w:hAnsi="Calibri"/>
          <w:color w:val="333333"/>
          <w:sz w:val="21"/>
        </w:rPr>
        <w:t>Due to the hybrid architecture, operational overhead is kept to an absolute minimum. The table below represents the cost structure based on an average organization uploading 500 documents per month:</w:t>
      </w:r>
    </w:p>
    <w:tbl>
      <w:tblPr>
        <w:tblW w:w="0" w:type="auto"/>
        <w:jc w:val="center"/>
        <w:tblBorders>
          <w:top w:val="single" w:sz="4" w:space="0" w:color="E0E0E0"/>
          <w:bottom w:val="single" w:sz="6" w:space="0" w:color="A0A0A0"/>
          <w:insideH w:val="single" w:sz="4" w:space="0" w:color="E0E0E0"/>
        </w:tblBorders>
        <w:tblLook w:val="04A0" w:firstRow="1" w:lastRow="0" w:firstColumn="1" w:lastColumn="0" w:noHBand="0" w:noVBand="1"/>
      </w:tblPr>
      <w:tblGrid>
        <w:gridCol w:w="3120"/>
        <w:gridCol w:w="3120"/>
        <w:gridCol w:w="3120"/>
      </w:tblGrid>
      <w:tr w:rsidR="007058F2" w14:paraId="0FFD32BB" w14:textId="77777777">
        <w:trPr>
          <w:jc w:val="center"/>
        </w:trPr>
        <w:tc>
          <w:tcPr>
            <w:tcW w:w="3120" w:type="dxa"/>
            <w:shd w:val="clear" w:color="auto" w:fill="0A2540"/>
          </w:tcPr>
          <w:p w14:paraId="59F9E88F" w14:textId="77777777" w:rsidR="007058F2" w:rsidRDefault="00000000">
            <w:pPr>
              <w:spacing w:before="120" w:after="120"/>
              <w:ind w:left="115"/>
            </w:pPr>
            <w:r>
              <w:rPr>
                <w:rFonts w:ascii="Arial" w:hAnsi="Arial"/>
                <w:b/>
                <w:color w:val="FFFFFF"/>
                <w:sz w:val="20"/>
              </w:rPr>
              <w:t>Expense Item</w:t>
            </w:r>
          </w:p>
        </w:tc>
        <w:tc>
          <w:tcPr>
            <w:tcW w:w="3120" w:type="dxa"/>
            <w:shd w:val="clear" w:color="auto" w:fill="0A2540"/>
          </w:tcPr>
          <w:p w14:paraId="635B90FC" w14:textId="77777777" w:rsidR="007058F2" w:rsidRDefault="00000000">
            <w:pPr>
              <w:spacing w:before="120" w:after="120"/>
              <w:ind w:left="115"/>
            </w:pPr>
            <w:r>
              <w:rPr>
                <w:rFonts w:ascii="Arial" w:hAnsi="Arial"/>
                <w:b/>
                <w:color w:val="FFFFFF"/>
                <w:sz w:val="20"/>
              </w:rPr>
              <w:t>Monthly Cost (USD)</w:t>
            </w:r>
          </w:p>
        </w:tc>
        <w:tc>
          <w:tcPr>
            <w:tcW w:w="3120" w:type="dxa"/>
            <w:shd w:val="clear" w:color="auto" w:fill="0A2540"/>
          </w:tcPr>
          <w:p w14:paraId="4AD607FC" w14:textId="77777777" w:rsidR="007058F2" w:rsidRDefault="00000000">
            <w:pPr>
              <w:spacing w:before="120" w:after="120"/>
              <w:ind w:left="115"/>
            </w:pPr>
            <w:r>
              <w:rPr>
                <w:rFonts w:ascii="Arial" w:hAnsi="Arial"/>
                <w:b/>
                <w:color w:val="FFFFFF"/>
                <w:sz w:val="20"/>
              </w:rPr>
              <w:t>Cost Dynamics &amp; Rationale</w:t>
            </w:r>
          </w:p>
        </w:tc>
      </w:tr>
      <w:tr w:rsidR="007058F2" w14:paraId="21D91551" w14:textId="77777777">
        <w:trPr>
          <w:jc w:val="center"/>
        </w:trPr>
        <w:tc>
          <w:tcPr>
            <w:tcW w:w="3120" w:type="dxa"/>
          </w:tcPr>
          <w:p w14:paraId="7F8FDDC9" w14:textId="77777777" w:rsidR="007058F2" w:rsidRDefault="00000000">
            <w:pPr>
              <w:spacing w:before="80" w:after="80"/>
              <w:ind w:left="115"/>
            </w:pPr>
            <w:r>
              <w:rPr>
                <w:rFonts w:ascii="Calibri" w:hAnsi="Calibri"/>
                <w:color w:val="333333"/>
                <w:sz w:val="19"/>
              </w:rPr>
              <w:t>Polygon Transactions</w:t>
            </w:r>
          </w:p>
        </w:tc>
        <w:tc>
          <w:tcPr>
            <w:tcW w:w="3120" w:type="dxa"/>
          </w:tcPr>
          <w:p w14:paraId="4D3C6E84" w14:textId="77777777" w:rsidR="007058F2" w:rsidRDefault="00000000">
            <w:pPr>
              <w:spacing w:before="80" w:after="80"/>
              <w:ind w:left="115"/>
            </w:pPr>
            <w:r>
              <w:rPr>
                <w:rFonts w:ascii="Calibri" w:hAnsi="Calibri"/>
                <w:color w:val="333333"/>
                <w:sz w:val="19"/>
              </w:rPr>
              <w:t>$5.00 - $15.00</w:t>
            </w:r>
          </w:p>
        </w:tc>
        <w:tc>
          <w:tcPr>
            <w:tcW w:w="3120" w:type="dxa"/>
          </w:tcPr>
          <w:p w14:paraId="22689998" w14:textId="77777777" w:rsidR="007058F2" w:rsidRDefault="00000000">
            <w:pPr>
              <w:spacing w:before="80" w:after="80"/>
              <w:ind w:left="115"/>
            </w:pPr>
            <w:r>
              <w:rPr>
                <w:rFonts w:ascii="Calibri" w:hAnsi="Calibri"/>
                <w:color w:val="333333"/>
                <w:sz w:val="19"/>
              </w:rPr>
              <w:t>Gas fees for document anchors (~$0.01/upload) and access grants (~$0.005/grant) paid by the Relayer paymaster wallet.</w:t>
            </w:r>
          </w:p>
        </w:tc>
      </w:tr>
      <w:tr w:rsidR="007058F2" w14:paraId="0839D5B2" w14:textId="77777777">
        <w:trPr>
          <w:jc w:val="center"/>
        </w:trPr>
        <w:tc>
          <w:tcPr>
            <w:tcW w:w="3120" w:type="dxa"/>
            <w:shd w:val="clear" w:color="auto" w:fill="F4F6F9"/>
          </w:tcPr>
          <w:p w14:paraId="201387A4" w14:textId="77777777" w:rsidR="007058F2" w:rsidRDefault="00000000">
            <w:pPr>
              <w:spacing w:before="80" w:after="80"/>
              <w:ind w:left="115"/>
            </w:pPr>
            <w:r>
              <w:rPr>
                <w:rFonts w:ascii="Calibri" w:hAnsi="Calibri"/>
                <w:color w:val="333333"/>
                <w:sz w:val="19"/>
              </w:rPr>
              <w:t>IPFS Storage (Pinata Pro)</w:t>
            </w:r>
          </w:p>
        </w:tc>
        <w:tc>
          <w:tcPr>
            <w:tcW w:w="3120" w:type="dxa"/>
            <w:shd w:val="clear" w:color="auto" w:fill="F4F6F9"/>
          </w:tcPr>
          <w:p w14:paraId="28474F6F" w14:textId="77777777" w:rsidR="007058F2" w:rsidRDefault="00000000">
            <w:pPr>
              <w:spacing w:before="80" w:after="80"/>
              <w:ind w:left="115"/>
            </w:pPr>
            <w:r>
              <w:rPr>
                <w:rFonts w:ascii="Calibri" w:hAnsi="Calibri"/>
                <w:color w:val="333333"/>
                <w:sz w:val="19"/>
              </w:rPr>
              <w:t>$20.00</w:t>
            </w:r>
          </w:p>
        </w:tc>
        <w:tc>
          <w:tcPr>
            <w:tcW w:w="3120" w:type="dxa"/>
            <w:shd w:val="clear" w:color="auto" w:fill="F4F6F9"/>
          </w:tcPr>
          <w:p w14:paraId="52BF1949" w14:textId="77777777" w:rsidR="007058F2" w:rsidRDefault="00000000">
            <w:pPr>
              <w:spacing w:before="80" w:after="80"/>
              <w:ind w:left="115"/>
            </w:pPr>
            <w:r>
              <w:rPr>
                <w:rFonts w:ascii="Calibri" w:hAnsi="Calibri"/>
                <w:color w:val="333333"/>
                <w:sz w:val="19"/>
              </w:rPr>
              <w:t>Flat fee for 100GB of storage. Content remains pinned permanently, and scales linearly for higher capacities.</w:t>
            </w:r>
          </w:p>
        </w:tc>
      </w:tr>
      <w:tr w:rsidR="007058F2" w14:paraId="02E52636" w14:textId="77777777">
        <w:trPr>
          <w:jc w:val="center"/>
        </w:trPr>
        <w:tc>
          <w:tcPr>
            <w:tcW w:w="3120" w:type="dxa"/>
          </w:tcPr>
          <w:p w14:paraId="2DC7CEC7" w14:textId="77777777" w:rsidR="007058F2" w:rsidRDefault="00000000">
            <w:pPr>
              <w:spacing w:before="80" w:after="80"/>
              <w:ind w:left="115"/>
            </w:pPr>
            <w:r>
              <w:rPr>
                <w:rFonts w:ascii="Calibri" w:hAnsi="Calibri"/>
                <w:color w:val="333333"/>
                <w:sz w:val="19"/>
              </w:rPr>
              <w:t>Next.js Hosting (Vercel Pro)</w:t>
            </w:r>
          </w:p>
        </w:tc>
        <w:tc>
          <w:tcPr>
            <w:tcW w:w="3120" w:type="dxa"/>
          </w:tcPr>
          <w:p w14:paraId="65547C36" w14:textId="77777777" w:rsidR="007058F2" w:rsidRDefault="00000000">
            <w:pPr>
              <w:spacing w:before="80" w:after="80"/>
              <w:ind w:left="115"/>
            </w:pPr>
            <w:r>
              <w:rPr>
                <w:rFonts w:ascii="Calibri" w:hAnsi="Calibri"/>
                <w:color w:val="333333"/>
                <w:sz w:val="19"/>
              </w:rPr>
              <w:t>$20.00</w:t>
            </w:r>
          </w:p>
        </w:tc>
        <w:tc>
          <w:tcPr>
            <w:tcW w:w="3120" w:type="dxa"/>
          </w:tcPr>
          <w:p w14:paraId="752E0E3D" w14:textId="77777777" w:rsidR="007058F2" w:rsidRDefault="00000000">
            <w:pPr>
              <w:spacing w:before="80" w:after="80"/>
              <w:ind w:left="115"/>
            </w:pPr>
            <w:r>
              <w:rPr>
                <w:rFonts w:ascii="Calibri" w:hAnsi="Calibri"/>
                <w:color w:val="333333"/>
                <w:sz w:val="19"/>
              </w:rPr>
              <w:t>Enterprise-ready frontend hosting, handling React server components and rate-limited API routes.</w:t>
            </w:r>
          </w:p>
        </w:tc>
      </w:tr>
      <w:tr w:rsidR="007058F2" w14:paraId="7D1D2A10" w14:textId="77777777">
        <w:trPr>
          <w:jc w:val="center"/>
        </w:trPr>
        <w:tc>
          <w:tcPr>
            <w:tcW w:w="3120" w:type="dxa"/>
            <w:shd w:val="clear" w:color="auto" w:fill="F4F6F9"/>
          </w:tcPr>
          <w:p w14:paraId="2BF79666" w14:textId="77777777" w:rsidR="007058F2" w:rsidRDefault="00000000">
            <w:pPr>
              <w:spacing w:before="80" w:after="80"/>
              <w:ind w:left="115"/>
            </w:pPr>
            <w:r>
              <w:rPr>
                <w:rFonts w:ascii="Calibri" w:hAnsi="Calibri"/>
                <w:color w:val="333333"/>
                <w:sz w:val="19"/>
              </w:rPr>
              <w:t>Email Delivery (Gmail/Brevo)</w:t>
            </w:r>
          </w:p>
        </w:tc>
        <w:tc>
          <w:tcPr>
            <w:tcW w:w="3120" w:type="dxa"/>
            <w:shd w:val="clear" w:color="auto" w:fill="F4F6F9"/>
          </w:tcPr>
          <w:p w14:paraId="5451840C" w14:textId="77777777" w:rsidR="007058F2" w:rsidRDefault="00000000">
            <w:pPr>
              <w:spacing w:before="80" w:after="80"/>
              <w:ind w:left="115"/>
            </w:pPr>
            <w:r>
              <w:rPr>
                <w:rFonts w:ascii="Calibri" w:hAnsi="Calibri"/>
                <w:color w:val="333333"/>
                <w:sz w:val="19"/>
              </w:rPr>
              <w:t>$0.00 - $10.00</w:t>
            </w:r>
          </w:p>
        </w:tc>
        <w:tc>
          <w:tcPr>
            <w:tcW w:w="3120" w:type="dxa"/>
            <w:shd w:val="clear" w:color="auto" w:fill="F4F6F9"/>
          </w:tcPr>
          <w:p w14:paraId="5643ABA8" w14:textId="77777777" w:rsidR="007058F2" w:rsidRDefault="00000000">
            <w:pPr>
              <w:spacing w:before="80" w:after="80"/>
              <w:ind w:left="115"/>
            </w:pPr>
            <w:r>
              <w:rPr>
                <w:rFonts w:ascii="Calibri" w:hAnsi="Calibri"/>
                <w:color w:val="333333"/>
                <w:sz w:val="19"/>
              </w:rPr>
              <w:t>Gmail relay is free for standard developer/business counts. Brevo API includes a free tier of 300 emails/day, scaling to $15/month for high volumes.</w:t>
            </w:r>
          </w:p>
        </w:tc>
      </w:tr>
    </w:tbl>
    <w:p w14:paraId="62E3A671" w14:textId="77777777" w:rsidR="007058F2" w:rsidRDefault="007058F2"/>
    <w:p w14:paraId="527515FD" w14:textId="77777777" w:rsidR="007058F2" w:rsidRDefault="00000000">
      <w:pPr>
        <w:keepNext/>
        <w:spacing w:before="440" w:after="160"/>
      </w:pPr>
      <w:r>
        <w:rPr>
          <w:rFonts w:ascii="Arial" w:hAnsi="Arial"/>
          <w:b/>
          <w:color w:val="0A2540"/>
          <w:sz w:val="36"/>
        </w:rPr>
        <w:lastRenderedPageBreak/>
        <w:t>10. Verification, Testing &amp; Regulatory Compliance</w:t>
      </w:r>
    </w:p>
    <w:p w14:paraId="70D97C0D" w14:textId="77777777" w:rsidR="007058F2" w:rsidRDefault="00000000">
      <w:pPr>
        <w:spacing w:after="120"/>
      </w:pPr>
      <w:r>
        <w:rPr>
          <w:rFonts w:ascii="Calibri" w:hAnsi="Calibri"/>
          <w:color w:val="333333"/>
          <w:sz w:val="21"/>
        </w:rPr>
        <w:t>To ensure production-readiness, the platform was subjected to a series of automated and manual verification procedures, validating both security posture and compliance alignments.</w:t>
      </w:r>
    </w:p>
    <w:p w14:paraId="6278E333" w14:textId="77777777" w:rsidR="007058F2" w:rsidRDefault="00000000">
      <w:pPr>
        <w:keepNext/>
        <w:spacing w:before="280" w:after="120"/>
      </w:pPr>
      <w:r>
        <w:rPr>
          <w:rFonts w:ascii="Arial" w:hAnsi="Arial"/>
          <w:b/>
          <w:color w:val="708090"/>
          <w:sz w:val="27"/>
        </w:rPr>
        <w:t>10.1 Smart Contract Test Results</w:t>
      </w:r>
    </w:p>
    <w:p w14:paraId="52B10BB2" w14:textId="77777777" w:rsidR="007058F2" w:rsidRDefault="00000000">
      <w:pPr>
        <w:spacing w:after="120"/>
      </w:pPr>
      <w:r>
        <w:rPr>
          <w:rFonts w:ascii="Calibri" w:hAnsi="Calibri"/>
          <w:color w:val="333333"/>
          <w:sz w:val="21"/>
        </w:rPr>
        <w:t>The Solidity smart contract suite is validated using a comprehensive Hardhat, Mocha, and Chai test suite. The test suite covers upgradeability, ownership control, permission grants, access log emission, and integrity verification. All test runs achieved 100% success rates, with code coverage exceeding the 80% security baseline:</w:t>
      </w:r>
    </w:p>
    <w:p w14:paraId="6D1A8247" w14:textId="77777777" w:rsidR="007058F2" w:rsidRDefault="00000000">
      <w:pPr>
        <w:pStyle w:val="ListBullet"/>
        <w:spacing w:after="80"/>
      </w:pPr>
      <w:r>
        <w:rPr>
          <w:rFonts w:ascii="Calibri" w:hAnsi="Calibri"/>
          <w:b/>
          <w:color w:val="333333"/>
          <w:sz w:val="21"/>
        </w:rPr>
        <w:t xml:space="preserve">✔ Upgradeability Verification: </w:t>
      </w:r>
      <w:r>
        <w:rPr>
          <w:rFonts w:ascii="Calibri" w:hAnsi="Calibri"/>
          <w:color w:val="333333"/>
          <w:sz w:val="21"/>
        </w:rPr>
        <w:t>Transparent UUPS upgrades pass successfully, ensuring state variables are preserved across logical changes.</w:t>
      </w:r>
    </w:p>
    <w:p w14:paraId="2D04DD19" w14:textId="77777777" w:rsidR="007058F2" w:rsidRDefault="00000000">
      <w:pPr>
        <w:pStyle w:val="ListBullet"/>
        <w:spacing w:after="80"/>
      </w:pPr>
      <w:r>
        <w:rPr>
          <w:rFonts w:ascii="Calibri" w:hAnsi="Calibri"/>
          <w:b/>
          <w:color w:val="333333"/>
          <w:sz w:val="21"/>
        </w:rPr>
        <w:t xml:space="preserve">✔ EIP-712 Meta-Transaction Signing: </w:t>
      </w:r>
      <w:r>
        <w:rPr>
          <w:rFonts w:ascii="Calibri" w:hAnsi="Calibri"/>
          <w:color w:val="333333"/>
          <w:sz w:val="21"/>
        </w:rPr>
        <w:t>The SecureDocForwarder correctly validates off-chain EIP-712 signatures, executing calls via relayers while correctly mapping msgSender.</w:t>
      </w:r>
    </w:p>
    <w:p w14:paraId="2EA2D2F0" w14:textId="77777777" w:rsidR="007058F2" w:rsidRDefault="00000000">
      <w:pPr>
        <w:pStyle w:val="ListBullet"/>
        <w:spacing w:after="80"/>
      </w:pPr>
      <w:r>
        <w:rPr>
          <w:rFonts w:ascii="Calibri" w:hAnsi="Calibri"/>
          <w:b/>
          <w:color w:val="333333"/>
          <w:sz w:val="21"/>
        </w:rPr>
        <w:t xml:space="preserve">✔ Integrity and Tamper Checks: </w:t>
      </w:r>
      <w:r>
        <w:rPr>
          <w:rFonts w:ascii="Calibri" w:hAnsi="Calibri"/>
          <w:color w:val="333333"/>
          <w:sz w:val="21"/>
        </w:rPr>
        <w:t>Altering the encrypted CID on IPFS results in verifyIntegrity() immediately returning false.</w:t>
      </w:r>
    </w:p>
    <w:p w14:paraId="37830646" w14:textId="77777777" w:rsidR="007058F2" w:rsidRDefault="00000000">
      <w:pPr>
        <w:pStyle w:val="ListBullet"/>
        <w:spacing w:after="80"/>
      </w:pPr>
      <w:r>
        <w:rPr>
          <w:rFonts w:ascii="Calibri" w:hAnsi="Calibri"/>
          <w:b/>
          <w:color w:val="333333"/>
          <w:sz w:val="21"/>
        </w:rPr>
        <w:t xml:space="preserve">✔ Access Expiry Enforcement: </w:t>
      </w:r>
      <w:r>
        <w:rPr>
          <w:rFonts w:ascii="Calibri" w:hAnsi="Calibri"/>
          <w:color w:val="333333"/>
          <w:sz w:val="21"/>
        </w:rPr>
        <w:t>Attempting to retrieve or log access to a document past its Unix expiry timestamp throws a strict revert transaction.</w:t>
      </w:r>
    </w:p>
    <w:p w14:paraId="3894710A" w14:textId="77777777" w:rsidR="007058F2" w:rsidRDefault="00000000">
      <w:pPr>
        <w:keepNext/>
        <w:spacing w:before="280" w:after="120"/>
      </w:pPr>
      <w:r>
        <w:rPr>
          <w:rFonts w:ascii="Arial" w:hAnsi="Arial"/>
          <w:b/>
          <w:color w:val="708090"/>
          <w:sz w:val="27"/>
        </w:rPr>
        <w:t>10.2 Static Analysis &amp; Code Audit</w:t>
      </w:r>
    </w:p>
    <w:p w14:paraId="31C15CA8" w14:textId="77777777" w:rsidR="007058F2" w:rsidRDefault="00000000">
      <w:pPr>
        <w:spacing w:after="120"/>
      </w:pPr>
      <w:r>
        <w:rPr>
          <w:rFonts w:ascii="Calibri" w:hAnsi="Calibri"/>
          <w:color w:val="333333"/>
          <w:sz w:val="21"/>
        </w:rPr>
        <w:t>Prior to deployment, the smart contracts were audited using Slither, the industry-standard static analysis tool. All identified vulnerabilities (such as shadowing, reentrancy risk, and compiler warning discrepancies) were fully addressed. The final contract build returned zero high or medium severity findings.</w:t>
      </w:r>
    </w:p>
    <w:p w14:paraId="620C7292" w14:textId="77777777" w:rsidR="007058F2" w:rsidRDefault="00000000">
      <w:pPr>
        <w:keepNext/>
        <w:spacing w:before="280" w:after="120"/>
      </w:pPr>
      <w:r>
        <w:rPr>
          <w:rFonts w:ascii="Arial" w:hAnsi="Arial"/>
          <w:b/>
          <w:color w:val="708090"/>
          <w:sz w:val="27"/>
        </w:rPr>
        <w:t>10.3 Regulatory &amp; Compliance Alignment</w:t>
      </w:r>
    </w:p>
    <w:p w14:paraId="12942734" w14:textId="77777777" w:rsidR="007058F2" w:rsidRDefault="00000000">
      <w:pPr>
        <w:spacing w:after="120"/>
      </w:pPr>
      <w:r>
        <w:rPr>
          <w:rFonts w:ascii="Calibri" w:hAnsi="Calibri"/>
          <w:color w:val="333333"/>
          <w:sz w:val="21"/>
        </w:rPr>
        <w:t>SecureDocChain addresses several regulatory frameworks by design:</w:t>
      </w:r>
    </w:p>
    <w:p w14:paraId="58B0B966" w14:textId="77777777" w:rsidR="007058F2" w:rsidRDefault="00000000">
      <w:pPr>
        <w:pStyle w:val="ListBullet"/>
        <w:spacing w:after="80"/>
      </w:pPr>
      <w:r>
        <w:rPr>
          <w:rFonts w:ascii="Calibri" w:hAnsi="Calibri"/>
          <w:b/>
          <w:color w:val="333333"/>
          <w:sz w:val="21"/>
        </w:rPr>
        <w:t xml:space="preserve">• GDPR compliance: </w:t>
      </w:r>
      <w:r>
        <w:rPr>
          <w:rFonts w:ascii="Calibri" w:hAnsi="Calibri"/>
          <w:color w:val="333333"/>
          <w:sz w:val="21"/>
        </w:rPr>
        <w:t>Addresses the 'Right to Be Forgotten' (erasure). Because the document is encrypted client-side and only the encrypted blob is stored on IPFS, deleting the local symmetric key renders the document permanently unreadable, fulfilling the erasure requirements without mutating the immutable blockchain ledger.</w:t>
      </w:r>
    </w:p>
    <w:p w14:paraId="0EC57126" w14:textId="77777777" w:rsidR="007058F2" w:rsidRDefault="00000000">
      <w:pPr>
        <w:pStyle w:val="ListBullet"/>
        <w:spacing w:after="80"/>
      </w:pPr>
      <w:r>
        <w:rPr>
          <w:rFonts w:ascii="Calibri" w:hAnsi="Calibri"/>
          <w:b/>
          <w:color w:val="333333"/>
          <w:sz w:val="21"/>
        </w:rPr>
        <w:t xml:space="preserve">• SOC 2 and ISO 27001: </w:t>
      </w:r>
      <w:r>
        <w:rPr>
          <w:rFonts w:ascii="Calibri" w:hAnsi="Calibri"/>
          <w:color w:val="333333"/>
          <w:sz w:val="21"/>
        </w:rPr>
        <w:t>Aligns with security auditing controls by providing an immutable, cryptographically verified audit trail of all access events that cannot be altered or deleted by administrators.</w:t>
      </w:r>
    </w:p>
    <w:p w14:paraId="47927248" w14:textId="77777777" w:rsidR="007058F2" w:rsidRDefault="00000000">
      <w:pPr>
        <w:pStyle w:val="ListBullet"/>
        <w:spacing w:after="80"/>
      </w:pPr>
      <w:r>
        <w:rPr>
          <w:rFonts w:ascii="Calibri" w:hAnsi="Calibri"/>
          <w:b/>
          <w:color w:val="333333"/>
          <w:sz w:val="21"/>
        </w:rPr>
        <w:t xml:space="preserve">• Bar Association Standards: </w:t>
      </w:r>
      <w:r>
        <w:rPr>
          <w:rFonts w:ascii="Calibri" w:hAnsi="Calibri"/>
          <w:color w:val="333333"/>
          <w:sz w:val="21"/>
        </w:rPr>
        <w:t>Meets attorney-client confidentiality requirements (such as ABA Model Rule 1.6) by maintaining Zero-Knowledge encryption where keys are never exposed to hosting servers.</w:t>
      </w:r>
    </w:p>
    <w:p w14:paraId="583705D4" w14:textId="77777777" w:rsidR="007058F2" w:rsidRDefault="00000000">
      <w:r>
        <w:br w:type="page"/>
      </w:r>
    </w:p>
    <w:p w14:paraId="51E76F68" w14:textId="77777777" w:rsidR="007058F2" w:rsidRDefault="00000000">
      <w:pPr>
        <w:keepNext/>
        <w:spacing w:before="440" w:after="160"/>
      </w:pPr>
      <w:r>
        <w:rPr>
          <w:rFonts w:ascii="Arial" w:hAnsi="Arial"/>
          <w:b/>
          <w:color w:val="0A2540"/>
          <w:sz w:val="36"/>
        </w:rPr>
        <w:lastRenderedPageBreak/>
        <w:t>11. Key References &amp; Strategic Roadmap</w:t>
      </w:r>
    </w:p>
    <w:p w14:paraId="36A9B702" w14:textId="77777777" w:rsidR="007058F2" w:rsidRDefault="00000000">
      <w:pPr>
        <w:keepNext/>
        <w:spacing w:before="280" w:after="120"/>
      </w:pPr>
      <w:r>
        <w:rPr>
          <w:rFonts w:ascii="Arial" w:hAnsi="Arial"/>
          <w:b/>
          <w:color w:val="708090"/>
          <w:sz w:val="27"/>
        </w:rPr>
        <w:t>11.1 Academic References</w:t>
      </w:r>
    </w:p>
    <w:p w14:paraId="27DE937B" w14:textId="77777777" w:rsidR="007058F2" w:rsidRDefault="00000000">
      <w:pPr>
        <w:spacing w:after="120"/>
      </w:pPr>
      <w:r>
        <w:rPr>
          <w:rFonts w:ascii="Calibri" w:hAnsi="Calibri"/>
          <w:color w:val="333333"/>
          <w:sz w:val="21"/>
        </w:rPr>
        <w:t>The design decisions of SecureDocChain are grounded in peer-reviewed security research published between 2022 and 2025:</w:t>
      </w:r>
    </w:p>
    <w:p w14:paraId="20CCA1AA" w14:textId="77777777" w:rsidR="007058F2" w:rsidRDefault="00000000">
      <w:pPr>
        <w:pStyle w:val="ListBullet"/>
        <w:spacing w:after="80"/>
      </w:pPr>
      <w:r>
        <w:rPr>
          <w:rFonts w:ascii="Calibri" w:hAnsi="Calibri"/>
          <w:b/>
          <w:color w:val="333333"/>
          <w:sz w:val="21"/>
        </w:rPr>
        <w:t xml:space="preserve">[1] Nature Scientific Reports (2024): </w:t>
      </w:r>
      <w:r>
        <w:rPr>
          <w:rFonts w:ascii="Calibri" w:hAnsi="Calibri"/>
          <w:color w:val="333333"/>
          <w:sz w:val="21"/>
        </w:rPr>
        <w:t>'An efficient blockchain-based framework for file sharing'. Provided the framework for segregating storage and blockchain registry metadata (the dual-chain model).</w:t>
      </w:r>
    </w:p>
    <w:p w14:paraId="6562B146" w14:textId="77777777" w:rsidR="007058F2" w:rsidRDefault="00000000">
      <w:pPr>
        <w:pStyle w:val="ListBullet"/>
        <w:spacing w:after="80"/>
      </w:pPr>
      <w:r>
        <w:rPr>
          <w:rFonts w:ascii="Calibri" w:hAnsi="Calibri"/>
          <w:b/>
          <w:color w:val="333333"/>
          <w:sz w:val="21"/>
        </w:rPr>
        <w:t xml:space="preserve">[2] arXiv Security and Cryptography (2022): </w:t>
      </w:r>
      <w:r>
        <w:rPr>
          <w:rFonts w:ascii="Calibri" w:hAnsi="Calibri"/>
          <w:color w:val="333333"/>
          <w:sz w:val="21"/>
        </w:rPr>
        <w:t>'A Secure File Sharing System Based on IPFS and Blockchain'. Informed the design of client-side key wrapping and group access lists.</w:t>
      </w:r>
    </w:p>
    <w:p w14:paraId="1637C551" w14:textId="77777777" w:rsidR="007058F2" w:rsidRDefault="00000000">
      <w:pPr>
        <w:pStyle w:val="ListBullet"/>
        <w:spacing w:after="80"/>
      </w:pPr>
      <w:r>
        <w:rPr>
          <w:rFonts w:ascii="Calibri" w:hAnsi="Calibri"/>
          <w:b/>
          <w:color w:val="333333"/>
          <w:sz w:val="21"/>
        </w:rPr>
        <w:t xml:space="preserve">[3] ScienceDirect (2024): </w:t>
      </w:r>
      <w:r>
        <w:rPr>
          <w:rFonts w:ascii="Calibri" w:hAnsi="Calibri"/>
          <w:color w:val="333333"/>
          <w:sz w:val="21"/>
        </w:rPr>
        <w:t>'Attribute-Based Encryption + Blockchain'. Established standard methodologies for role-based viewer credentials without exposing encryption keys.</w:t>
      </w:r>
    </w:p>
    <w:p w14:paraId="749963B4" w14:textId="77777777" w:rsidR="007058F2" w:rsidRDefault="00000000">
      <w:pPr>
        <w:pStyle w:val="ListBullet"/>
        <w:spacing w:after="80"/>
      </w:pPr>
      <w:r>
        <w:rPr>
          <w:rFonts w:ascii="Calibri" w:hAnsi="Calibri"/>
          <w:b/>
          <w:color w:val="333333"/>
          <w:sz w:val="21"/>
        </w:rPr>
        <w:t xml:space="preserve">[4] Springer Blockchain Research (2023): </w:t>
      </w:r>
      <w:r>
        <w:rPr>
          <w:rFonts w:ascii="Calibri" w:hAnsi="Calibri"/>
          <w:color w:val="333333"/>
          <w:sz w:val="21"/>
        </w:rPr>
        <w:t>'Digital Rights Management for Creative Media Assets'. Grounded the watermark overlay and rights verification design of ScriptSafe.</w:t>
      </w:r>
    </w:p>
    <w:p w14:paraId="3B92E1D5" w14:textId="77777777" w:rsidR="007058F2" w:rsidRDefault="00000000">
      <w:pPr>
        <w:keepNext/>
        <w:spacing w:before="280" w:after="120"/>
      </w:pPr>
      <w:r>
        <w:rPr>
          <w:rFonts w:ascii="Arial" w:hAnsi="Arial"/>
          <w:b/>
          <w:color w:val="708090"/>
          <w:sz w:val="27"/>
        </w:rPr>
        <w:t>11.2 Strategic Roadmap</w:t>
      </w:r>
    </w:p>
    <w:p w14:paraId="0CEE8285" w14:textId="77777777" w:rsidR="007058F2" w:rsidRDefault="00000000">
      <w:pPr>
        <w:spacing w:after="120"/>
      </w:pPr>
      <w:r>
        <w:rPr>
          <w:rFonts w:ascii="Calibri" w:hAnsi="Calibri"/>
          <w:color w:val="333333"/>
          <w:sz w:val="21"/>
        </w:rPr>
        <w:t>The development of the platform has completed the core MVP milestones and is positioned to execute future integrations:</w:t>
      </w:r>
    </w:p>
    <w:tbl>
      <w:tblPr>
        <w:tblW w:w="0" w:type="auto"/>
        <w:jc w:val="center"/>
        <w:tblBorders>
          <w:top w:val="single" w:sz="4" w:space="0" w:color="E0E0E0"/>
          <w:bottom w:val="single" w:sz="6" w:space="0" w:color="A0A0A0"/>
          <w:insideH w:val="single" w:sz="4" w:space="0" w:color="E0E0E0"/>
        </w:tblBorders>
        <w:tblLook w:val="04A0" w:firstRow="1" w:lastRow="0" w:firstColumn="1" w:lastColumn="0" w:noHBand="0" w:noVBand="1"/>
      </w:tblPr>
      <w:tblGrid>
        <w:gridCol w:w="3120"/>
        <w:gridCol w:w="3120"/>
        <w:gridCol w:w="3120"/>
      </w:tblGrid>
      <w:tr w:rsidR="007058F2" w14:paraId="62F483E4" w14:textId="77777777">
        <w:trPr>
          <w:jc w:val="center"/>
        </w:trPr>
        <w:tc>
          <w:tcPr>
            <w:tcW w:w="3120" w:type="dxa"/>
            <w:shd w:val="clear" w:color="auto" w:fill="0A2540"/>
          </w:tcPr>
          <w:p w14:paraId="3511EF80" w14:textId="77777777" w:rsidR="007058F2" w:rsidRDefault="00000000">
            <w:pPr>
              <w:spacing w:before="120" w:after="120"/>
              <w:ind w:left="115"/>
            </w:pPr>
            <w:r>
              <w:rPr>
                <w:rFonts w:ascii="Arial" w:hAnsi="Arial"/>
                <w:b/>
                <w:color w:val="FFFFFF"/>
                <w:sz w:val="20"/>
              </w:rPr>
              <w:t>Phase &amp; Schedule</w:t>
            </w:r>
          </w:p>
        </w:tc>
        <w:tc>
          <w:tcPr>
            <w:tcW w:w="3120" w:type="dxa"/>
            <w:shd w:val="clear" w:color="auto" w:fill="0A2540"/>
          </w:tcPr>
          <w:p w14:paraId="0C1DCA69" w14:textId="77777777" w:rsidR="007058F2" w:rsidRDefault="00000000">
            <w:pPr>
              <w:spacing w:before="120" w:after="120"/>
              <w:ind w:left="115"/>
            </w:pPr>
            <w:r>
              <w:rPr>
                <w:rFonts w:ascii="Arial" w:hAnsi="Arial"/>
                <w:b/>
                <w:color w:val="FFFFFF"/>
                <w:sz w:val="20"/>
              </w:rPr>
              <w:t>Deliverables Completed / Planned</w:t>
            </w:r>
          </w:p>
        </w:tc>
        <w:tc>
          <w:tcPr>
            <w:tcW w:w="3120" w:type="dxa"/>
            <w:shd w:val="clear" w:color="auto" w:fill="0A2540"/>
          </w:tcPr>
          <w:p w14:paraId="6DEAC781" w14:textId="77777777" w:rsidR="007058F2" w:rsidRDefault="00000000">
            <w:pPr>
              <w:spacing w:before="120" w:after="120"/>
              <w:ind w:left="115"/>
            </w:pPr>
            <w:r>
              <w:rPr>
                <w:rFonts w:ascii="Arial" w:hAnsi="Arial"/>
                <w:b/>
                <w:color w:val="FFFFFF"/>
                <w:sz w:val="20"/>
              </w:rPr>
              <w:t>Current Status</w:t>
            </w:r>
          </w:p>
        </w:tc>
      </w:tr>
      <w:tr w:rsidR="007058F2" w14:paraId="4021D11D" w14:textId="77777777">
        <w:trPr>
          <w:jc w:val="center"/>
        </w:trPr>
        <w:tc>
          <w:tcPr>
            <w:tcW w:w="3120" w:type="dxa"/>
          </w:tcPr>
          <w:p w14:paraId="5974AE8C" w14:textId="77777777" w:rsidR="007058F2" w:rsidRDefault="00000000">
            <w:pPr>
              <w:spacing w:before="80" w:after="80"/>
              <w:ind w:left="115"/>
            </w:pPr>
            <w:r>
              <w:rPr>
                <w:rFonts w:ascii="Calibri" w:hAnsi="Calibri"/>
                <w:color w:val="333333"/>
                <w:sz w:val="19"/>
              </w:rPr>
              <w:t>Phase 0 - Foundation</w:t>
            </w:r>
          </w:p>
        </w:tc>
        <w:tc>
          <w:tcPr>
            <w:tcW w:w="3120" w:type="dxa"/>
          </w:tcPr>
          <w:p w14:paraId="6C592033" w14:textId="77777777" w:rsidR="007058F2" w:rsidRDefault="00000000">
            <w:pPr>
              <w:spacing w:before="80" w:after="80"/>
              <w:ind w:left="115"/>
            </w:pPr>
            <w:r>
              <w:rPr>
                <w:rFonts w:ascii="Calibri" w:hAnsi="Calibri"/>
                <w:color w:val="333333"/>
                <w:sz w:val="19"/>
              </w:rPr>
              <w:t>UUPS Contract deployment to Polygon Amoy, Hardhat test suite setup, Next.js framework scaffolding, PostgreSQL Prisma definitions.</w:t>
            </w:r>
          </w:p>
        </w:tc>
        <w:tc>
          <w:tcPr>
            <w:tcW w:w="3120" w:type="dxa"/>
          </w:tcPr>
          <w:p w14:paraId="32354195" w14:textId="77777777" w:rsidR="007058F2" w:rsidRDefault="00000000">
            <w:pPr>
              <w:spacing w:before="80" w:after="80"/>
              <w:ind w:left="115"/>
            </w:pPr>
            <w:r>
              <w:rPr>
                <w:rFonts w:ascii="Calibri" w:hAnsi="Calibri"/>
                <w:color w:val="333333"/>
                <w:sz w:val="19"/>
              </w:rPr>
              <w:t>Completed</w:t>
            </w:r>
          </w:p>
        </w:tc>
      </w:tr>
      <w:tr w:rsidR="007058F2" w14:paraId="4F1CA74B" w14:textId="77777777">
        <w:trPr>
          <w:jc w:val="center"/>
        </w:trPr>
        <w:tc>
          <w:tcPr>
            <w:tcW w:w="3120" w:type="dxa"/>
            <w:shd w:val="clear" w:color="auto" w:fill="F4F6F9"/>
          </w:tcPr>
          <w:p w14:paraId="6C601329" w14:textId="77777777" w:rsidR="007058F2" w:rsidRDefault="00000000">
            <w:pPr>
              <w:spacing w:before="80" w:after="80"/>
              <w:ind w:left="115"/>
            </w:pPr>
            <w:r>
              <w:rPr>
                <w:rFonts w:ascii="Calibri" w:hAnsi="Calibri"/>
                <w:color w:val="333333"/>
                <w:sz w:val="19"/>
              </w:rPr>
              <w:t>Phase 1 - Core MVP</w:t>
            </w:r>
          </w:p>
        </w:tc>
        <w:tc>
          <w:tcPr>
            <w:tcW w:w="3120" w:type="dxa"/>
            <w:shd w:val="clear" w:color="auto" w:fill="F4F6F9"/>
          </w:tcPr>
          <w:p w14:paraId="3CCBECA1" w14:textId="77777777" w:rsidR="007058F2" w:rsidRDefault="00000000">
            <w:pPr>
              <w:spacing w:before="80" w:after="80"/>
              <w:ind w:left="115"/>
            </w:pPr>
            <w:r>
              <w:rPr>
                <w:rFonts w:ascii="Calibri" w:hAnsi="Calibri"/>
                <w:color w:val="333333"/>
                <w:sz w:val="19"/>
              </w:rPr>
              <w:t>Client-side AES-256-GCM encryption, Pinata IPFS file proxy uploading, EIP-712 wallet signatures and Magic.link authentication.</w:t>
            </w:r>
          </w:p>
        </w:tc>
        <w:tc>
          <w:tcPr>
            <w:tcW w:w="3120" w:type="dxa"/>
            <w:shd w:val="clear" w:color="auto" w:fill="F4F6F9"/>
          </w:tcPr>
          <w:p w14:paraId="7641A325" w14:textId="77777777" w:rsidR="007058F2" w:rsidRDefault="00000000">
            <w:pPr>
              <w:spacing w:before="80" w:after="80"/>
              <w:ind w:left="115"/>
            </w:pPr>
            <w:r>
              <w:rPr>
                <w:rFonts w:ascii="Calibri" w:hAnsi="Calibri"/>
                <w:color w:val="333333"/>
                <w:sz w:val="19"/>
              </w:rPr>
              <w:t>Completed</w:t>
            </w:r>
          </w:p>
        </w:tc>
      </w:tr>
      <w:tr w:rsidR="007058F2" w14:paraId="7B852920" w14:textId="77777777">
        <w:trPr>
          <w:jc w:val="center"/>
        </w:trPr>
        <w:tc>
          <w:tcPr>
            <w:tcW w:w="3120" w:type="dxa"/>
          </w:tcPr>
          <w:p w14:paraId="194AD4F8" w14:textId="77777777" w:rsidR="007058F2" w:rsidRDefault="00000000">
            <w:pPr>
              <w:spacing w:before="80" w:after="80"/>
              <w:ind w:left="115"/>
            </w:pPr>
            <w:r>
              <w:rPr>
                <w:rFonts w:ascii="Calibri" w:hAnsi="Calibri"/>
                <w:color w:val="333333"/>
                <w:sz w:val="19"/>
              </w:rPr>
              <w:t>Phase 2 - Staging &amp; Relayer</w:t>
            </w:r>
          </w:p>
        </w:tc>
        <w:tc>
          <w:tcPr>
            <w:tcW w:w="3120" w:type="dxa"/>
          </w:tcPr>
          <w:p w14:paraId="66D8F712" w14:textId="77777777" w:rsidR="007058F2" w:rsidRDefault="00000000">
            <w:pPr>
              <w:spacing w:before="80" w:after="80"/>
              <w:ind w:left="115"/>
            </w:pPr>
            <w:r>
              <w:rPr>
                <w:rFonts w:ascii="Calibri" w:hAnsi="Calibri"/>
                <w:color w:val="333333"/>
                <w:sz w:val="19"/>
              </w:rPr>
              <w:t>Meta-transaction relayer deployment, EIP-1559 gas fee overrides on Amoy, secure Gmail/Brevo dual-channel SMTP fallbacks.</w:t>
            </w:r>
          </w:p>
        </w:tc>
        <w:tc>
          <w:tcPr>
            <w:tcW w:w="3120" w:type="dxa"/>
          </w:tcPr>
          <w:p w14:paraId="2C8B6A99" w14:textId="77777777" w:rsidR="007058F2" w:rsidRDefault="00000000">
            <w:pPr>
              <w:spacing w:before="80" w:after="80"/>
              <w:ind w:left="115"/>
            </w:pPr>
            <w:r>
              <w:rPr>
                <w:rFonts w:ascii="Calibri" w:hAnsi="Calibri"/>
                <w:color w:val="333333"/>
                <w:sz w:val="19"/>
              </w:rPr>
              <w:t>Completed</w:t>
            </w:r>
          </w:p>
        </w:tc>
      </w:tr>
      <w:tr w:rsidR="007058F2" w14:paraId="61AB85DF" w14:textId="77777777">
        <w:trPr>
          <w:jc w:val="center"/>
        </w:trPr>
        <w:tc>
          <w:tcPr>
            <w:tcW w:w="3120" w:type="dxa"/>
            <w:shd w:val="clear" w:color="auto" w:fill="F4F6F9"/>
          </w:tcPr>
          <w:p w14:paraId="3E879DA5" w14:textId="77777777" w:rsidR="007058F2" w:rsidRDefault="00000000">
            <w:pPr>
              <w:spacing w:before="80" w:after="80"/>
              <w:ind w:left="115"/>
            </w:pPr>
            <w:r>
              <w:rPr>
                <w:rFonts w:ascii="Calibri" w:hAnsi="Calibri"/>
                <w:color w:val="333333"/>
                <w:sz w:val="19"/>
              </w:rPr>
              <w:t>Phase 3 - Sandbox &amp; Viewport</w:t>
            </w:r>
          </w:p>
        </w:tc>
        <w:tc>
          <w:tcPr>
            <w:tcW w:w="3120" w:type="dxa"/>
            <w:shd w:val="clear" w:color="auto" w:fill="F4F6F9"/>
          </w:tcPr>
          <w:p w14:paraId="73B7A7DE" w14:textId="77777777" w:rsidR="007058F2" w:rsidRDefault="00000000">
            <w:pPr>
              <w:spacing w:before="80" w:after="80"/>
              <w:ind w:left="115"/>
            </w:pPr>
            <w:r>
              <w:rPr>
                <w:rFonts w:ascii="Calibri" w:hAnsi="Calibri"/>
                <w:color w:val="333333"/>
                <w:sz w:val="19"/>
              </w:rPr>
              <w:t>Watermark overlays, mouse-hover blur controls, focus lockout, HTML5 Canvas PDF rendering, and developer hotkey intercepts.</w:t>
            </w:r>
          </w:p>
        </w:tc>
        <w:tc>
          <w:tcPr>
            <w:tcW w:w="3120" w:type="dxa"/>
            <w:shd w:val="clear" w:color="auto" w:fill="F4F6F9"/>
          </w:tcPr>
          <w:p w14:paraId="67AFE330" w14:textId="77777777" w:rsidR="007058F2" w:rsidRDefault="00000000">
            <w:pPr>
              <w:spacing w:before="80" w:after="80"/>
              <w:ind w:left="115"/>
            </w:pPr>
            <w:r>
              <w:rPr>
                <w:rFonts w:ascii="Calibri" w:hAnsi="Calibri"/>
                <w:color w:val="333333"/>
                <w:sz w:val="19"/>
              </w:rPr>
              <w:t>Completed</w:t>
            </w:r>
          </w:p>
        </w:tc>
      </w:tr>
      <w:tr w:rsidR="007058F2" w14:paraId="314C9D60" w14:textId="77777777">
        <w:trPr>
          <w:jc w:val="center"/>
        </w:trPr>
        <w:tc>
          <w:tcPr>
            <w:tcW w:w="3120" w:type="dxa"/>
          </w:tcPr>
          <w:p w14:paraId="0C3BA943" w14:textId="77777777" w:rsidR="007058F2" w:rsidRDefault="00000000">
            <w:pPr>
              <w:spacing w:before="80" w:after="80"/>
              <w:ind w:left="115"/>
            </w:pPr>
            <w:r>
              <w:rPr>
                <w:rFonts w:ascii="Calibri" w:hAnsi="Calibri"/>
                <w:color w:val="333333"/>
                <w:sz w:val="19"/>
              </w:rPr>
              <w:t>Phase 4 - Production Deploy</w:t>
            </w:r>
          </w:p>
        </w:tc>
        <w:tc>
          <w:tcPr>
            <w:tcW w:w="3120" w:type="dxa"/>
          </w:tcPr>
          <w:p w14:paraId="67D91C5F" w14:textId="77777777" w:rsidR="007058F2" w:rsidRDefault="00000000">
            <w:pPr>
              <w:spacing w:before="80" w:after="80"/>
              <w:ind w:left="115"/>
            </w:pPr>
            <w:r>
              <w:rPr>
                <w:rFonts w:ascii="Calibri" w:hAnsi="Calibri"/>
                <w:color w:val="333333"/>
                <w:sz w:val="19"/>
              </w:rPr>
              <w:t xml:space="preserve">Production Polygon PoS migration </w:t>
            </w:r>
            <w:r>
              <w:rPr>
                <w:rFonts w:ascii="Calibri" w:hAnsi="Calibri"/>
                <w:color w:val="333333"/>
                <w:sz w:val="19"/>
              </w:rPr>
              <w:lastRenderedPageBreak/>
              <w:t>preparations, Slither code optimization audit, custom domains, and end-to-end integration tests.</w:t>
            </w:r>
          </w:p>
        </w:tc>
        <w:tc>
          <w:tcPr>
            <w:tcW w:w="3120" w:type="dxa"/>
          </w:tcPr>
          <w:p w14:paraId="0F2248B9" w14:textId="77777777" w:rsidR="007058F2" w:rsidRDefault="00000000">
            <w:pPr>
              <w:spacing w:before="80" w:after="80"/>
              <w:ind w:left="115"/>
            </w:pPr>
            <w:r>
              <w:rPr>
                <w:rFonts w:ascii="Calibri" w:hAnsi="Calibri"/>
                <w:color w:val="333333"/>
                <w:sz w:val="19"/>
              </w:rPr>
              <w:lastRenderedPageBreak/>
              <w:t>Completed</w:t>
            </w:r>
          </w:p>
        </w:tc>
      </w:tr>
      <w:tr w:rsidR="007058F2" w14:paraId="05EDB160" w14:textId="77777777">
        <w:trPr>
          <w:jc w:val="center"/>
        </w:trPr>
        <w:tc>
          <w:tcPr>
            <w:tcW w:w="3120" w:type="dxa"/>
            <w:shd w:val="clear" w:color="auto" w:fill="F4F6F9"/>
          </w:tcPr>
          <w:p w14:paraId="633E403E" w14:textId="77777777" w:rsidR="007058F2" w:rsidRDefault="00000000">
            <w:pPr>
              <w:spacing w:before="80" w:after="80"/>
              <w:ind w:left="115"/>
            </w:pPr>
            <w:r>
              <w:rPr>
                <w:rFonts w:ascii="Calibri" w:hAnsi="Calibri"/>
                <w:color w:val="333333"/>
                <w:sz w:val="19"/>
              </w:rPr>
              <w:t>Phase 5 - API &amp; Webhooks</w:t>
            </w:r>
          </w:p>
        </w:tc>
        <w:tc>
          <w:tcPr>
            <w:tcW w:w="3120" w:type="dxa"/>
            <w:shd w:val="clear" w:color="auto" w:fill="F4F6F9"/>
          </w:tcPr>
          <w:p w14:paraId="66337897" w14:textId="77777777" w:rsidR="007058F2" w:rsidRDefault="00000000">
            <w:pPr>
              <w:spacing w:before="80" w:after="80"/>
              <w:ind w:left="115"/>
            </w:pPr>
            <w:r>
              <w:rPr>
                <w:rFonts w:ascii="Calibri" w:hAnsi="Calibri"/>
                <w:color w:val="333333"/>
                <w:sz w:val="19"/>
              </w:rPr>
              <w:t>Release of Swagger-documented REST API endpoints and webhooks for access event notifications (Slack/Zapier).</w:t>
            </w:r>
          </w:p>
        </w:tc>
        <w:tc>
          <w:tcPr>
            <w:tcW w:w="3120" w:type="dxa"/>
            <w:shd w:val="clear" w:color="auto" w:fill="F4F6F9"/>
          </w:tcPr>
          <w:p w14:paraId="5FA6328A" w14:textId="77777777" w:rsidR="007058F2" w:rsidRDefault="00000000">
            <w:pPr>
              <w:spacing w:before="80" w:after="80"/>
              <w:ind w:left="115"/>
            </w:pPr>
            <w:r>
              <w:rPr>
                <w:rFonts w:ascii="Calibri" w:hAnsi="Calibri"/>
                <w:color w:val="333333"/>
                <w:sz w:val="19"/>
              </w:rPr>
              <w:t>Planned (Q3 2026)</w:t>
            </w:r>
          </w:p>
        </w:tc>
      </w:tr>
    </w:tbl>
    <w:p w14:paraId="0ABA702B" w14:textId="77777777" w:rsidR="00502D4F" w:rsidRDefault="00502D4F"/>
    <w:sectPr w:rsidR="00502D4F"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D0039" w14:textId="77777777" w:rsidR="00502D4F" w:rsidRDefault="00502D4F">
      <w:pPr>
        <w:spacing w:after="0" w:line="240" w:lineRule="auto"/>
      </w:pPr>
      <w:r>
        <w:separator/>
      </w:r>
    </w:p>
  </w:endnote>
  <w:endnote w:type="continuationSeparator" w:id="0">
    <w:p w14:paraId="1C0F0D15" w14:textId="77777777" w:rsidR="00502D4F" w:rsidRDefault="00502D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D729D" w14:textId="77777777" w:rsidR="007058F2" w:rsidRDefault="00000000">
    <w:pPr>
      <w:pStyle w:val="Footer"/>
      <w:jc w:val="right"/>
    </w:pPr>
    <w:proofErr w:type="spellStart"/>
    <w:r>
      <w:t>SecureDocChain</w:t>
    </w:r>
    <w:proofErr w:type="spellEnd"/>
    <w:r>
      <w:t xml:space="preserve"> | Final Project </w:t>
    </w:r>
    <w:proofErr w:type="gramStart"/>
    <w:r>
      <w:t>Report  -</w:t>
    </w:r>
    <w:proofErr w:type="gramEnd"/>
    <w:r>
      <w:t xml:space="preserve"> Page </w:t>
    </w:r>
    <w:r>
      <w:fldChar w:fldCharType="begin"/>
    </w:r>
    <w:r>
      <w:instrText>PAGE</w:instrText>
    </w:r>
    <w:r>
      <w:fldChar w:fldCharType="separate"/>
    </w:r>
    <w:r w:rsidR="0096779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B53852" w14:textId="77777777" w:rsidR="00502D4F" w:rsidRDefault="00502D4F">
      <w:pPr>
        <w:spacing w:after="0" w:line="240" w:lineRule="auto"/>
      </w:pPr>
      <w:r>
        <w:separator/>
      </w:r>
    </w:p>
  </w:footnote>
  <w:footnote w:type="continuationSeparator" w:id="0">
    <w:p w14:paraId="301EB2F0" w14:textId="77777777" w:rsidR="00502D4F" w:rsidRDefault="00502D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46BA2" w14:textId="160BAA11" w:rsidR="0096779E" w:rsidRDefault="0096779E">
    <w:pPr>
      <w:pStyle w:val="Header"/>
    </w:pPr>
    <w:r>
      <w:rPr>
        <w:noProof/>
      </w:rPr>
      <w:drawing>
        <wp:anchor distT="0" distB="0" distL="114300" distR="114300" simplePos="0" relativeHeight="251658240" behindDoc="0" locked="0" layoutInCell="1" allowOverlap="1" wp14:anchorId="57AABBCA" wp14:editId="5475B44D">
          <wp:simplePos x="0" y="0"/>
          <wp:positionH relativeFrom="column">
            <wp:posOffset>0</wp:posOffset>
          </wp:positionH>
          <wp:positionV relativeFrom="paragraph">
            <wp:posOffset>-457200</wp:posOffset>
          </wp:positionV>
          <wp:extent cx="711200" cy="847090"/>
          <wp:effectExtent l="0" t="0" r="0" b="0"/>
          <wp:wrapSquare wrapText="bothSides"/>
          <wp:docPr id="1317324458" name="Picture 1" descr="AIR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IRC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1200" cy="84709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79EEE6DD" wp14:editId="2B0A777A">
          <wp:simplePos x="0" y="0"/>
          <wp:positionH relativeFrom="column">
            <wp:posOffset>4984750</wp:posOffset>
          </wp:positionH>
          <wp:positionV relativeFrom="paragraph">
            <wp:posOffset>-158750</wp:posOffset>
          </wp:positionV>
          <wp:extent cx="955675" cy="463550"/>
          <wp:effectExtent l="0" t="0" r="0" b="0"/>
          <wp:wrapSquare wrapText="bothSides"/>
          <wp:docPr id="16587511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751117" name="Picture 1658751117"/>
                  <pic:cNvPicPr/>
                </pic:nvPicPr>
                <pic:blipFill>
                  <a:blip r:embed="rId2"/>
                  <a:stretch>
                    <a:fillRect/>
                  </a:stretch>
                </pic:blipFill>
                <pic:spPr>
                  <a:xfrm>
                    <a:off x="0" y="0"/>
                    <a:ext cx="955675" cy="4635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7783458">
    <w:abstractNumId w:val="8"/>
  </w:num>
  <w:num w:numId="2" w16cid:durableId="2101216420">
    <w:abstractNumId w:val="6"/>
  </w:num>
  <w:num w:numId="3" w16cid:durableId="111093171">
    <w:abstractNumId w:val="5"/>
  </w:num>
  <w:num w:numId="4" w16cid:durableId="529420223">
    <w:abstractNumId w:val="4"/>
  </w:num>
  <w:num w:numId="5" w16cid:durableId="752433868">
    <w:abstractNumId w:val="7"/>
  </w:num>
  <w:num w:numId="6" w16cid:durableId="1063673359">
    <w:abstractNumId w:val="3"/>
  </w:num>
  <w:num w:numId="7" w16cid:durableId="1209610413">
    <w:abstractNumId w:val="2"/>
  </w:num>
  <w:num w:numId="8" w16cid:durableId="1089933222">
    <w:abstractNumId w:val="1"/>
  </w:num>
  <w:num w:numId="9" w16cid:durableId="661201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14DC"/>
    <w:rsid w:val="002461CD"/>
    <w:rsid w:val="0029639D"/>
    <w:rsid w:val="00326F90"/>
    <w:rsid w:val="00502D4F"/>
    <w:rsid w:val="007058F2"/>
    <w:rsid w:val="0096779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1031CED"/>
  <w14:defaultImageDpi w14:val="300"/>
  <w15:docId w15:val="{FB8F17D1-0A6E-4CB3-A818-651DB2C01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12</Pages>
  <Words>3501</Words>
  <Characters>19956</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SoB.Ofc365A3_3</cp:lastModifiedBy>
  <cp:revision>2</cp:revision>
  <dcterms:created xsi:type="dcterms:W3CDTF">2013-12-23T23:15:00Z</dcterms:created>
  <dcterms:modified xsi:type="dcterms:W3CDTF">2026-07-19T12:24:00Z</dcterms:modified>
  <cp:category/>
</cp:coreProperties>
</file>