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left"/>
      </w:pPr>
      <w:r>
        <w:rPr>
          <w:rFonts w:ascii="Arial" w:hAnsi="Arial"/>
          <w:b/>
          <w:i w:val="0"/>
          <w:color w:val="111827"/>
          <w:sz w:val="44"/>
        </w:rPr>
        <w:t>Decentralized Password Management: Building a Web3-Native Vault with AES-256-GCM, IPFS, and BNB Chain</w:t>
      </w:r>
    </w:p>
    <w:p>
      <w:pPr>
        <w:spacing w:before="0" w:after="480"/>
      </w:pPr>
      <w:r>
        <w:rPr>
          <w:rFonts w:ascii="Calibri" w:hAnsi="Calibri"/>
          <w:b w:val="0"/>
          <w:i/>
          <w:color w:val="4B5563"/>
          <w:sz w:val="27"/>
        </w:rPr>
        <w:t>How to combine client-side AES-256-GCM encryption, Web Crypto API deterministic key derivation, IPFS storage, BNB Chain smart contracts, and GraphQL subgraph indexing for 100% user-owned password security.</w:t>
      </w:r>
    </w:p>
    <w:p>
      <w:pPr>
        <w:spacing w:after="200" w:line="276" w:lineRule="auto"/>
      </w:pPr>
      <w:r>
        <w:rPr>
          <w:rFonts w:ascii="Calibri" w:hAnsi="Calibri"/>
          <w:b w:val="0"/>
          <w:i w:val="0"/>
          <w:sz w:val="22"/>
        </w:rPr>
        <w:t>In an era dominated by digital accounts, the security of our credentials has never been more critical. Yet, standard solutions continue to rely on centralized frameworks. Traditional password managers—while convenient—store credentials on centralized cloud databases or rely on master keys that present a single point of failure. If the database is breached, or the service provider's servers go down, users face catastrophic security risks or total loss of access.</w:t>
      </w:r>
    </w:p>
    <w:p>
      <w:pPr>
        <w:spacing w:after="200" w:line="276" w:lineRule="auto"/>
      </w:pPr>
      <w:r>
        <w:rPr>
          <w:rFonts w:ascii="Calibri" w:hAnsi="Calibri"/>
          <w:b w:val="0"/>
          <w:i w:val="0"/>
          <w:sz w:val="22"/>
        </w:rPr>
        <w:t xml:space="preserve">Web3 introduces a new paradigm: self-custody and cryptographic identity. What if we could build a password manager where passwords are encrypted client-side using industry-standard </w:t>
      </w:r>
      <w:r>
        <w:rPr>
          <w:rFonts w:ascii="Calibri" w:hAnsi="Calibri"/>
          <w:b/>
          <w:i w:val="0"/>
          <w:sz w:val="22"/>
        </w:rPr>
        <w:t>AES-256-GCM</w:t>
      </w:r>
      <w:r>
        <w:rPr>
          <w:rFonts w:ascii="Calibri" w:hAnsi="Calibri"/>
          <w:b w:val="0"/>
          <w:i w:val="0"/>
          <w:sz w:val="22"/>
        </w:rPr>
        <w:t xml:space="preserve">, stored on a decentralized filesystem (IPFS), registered on a secure blockchain network (BNB Chain), and decrypted </w:t>
      </w:r>
      <w:r>
        <w:rPr>
          <w:rFonts w:ascii="Calibri" w:hAnsi="Calibri"/>
          <w:b w:val="0"/>
          <w:i/>
          <w:sz w:val="22"/>
        </w:rPr>
        <w:t>only</w:t>
      </w:r>
      <w:r>
        <w:rPr>
          <w:rFonts w:ascii="Calibri" w:hAnsi="Calibri"/>
          <w:b w:val="0"/>
          <w:i w:val="0"/>
          <w:sz w:val="22"/>
        </w:rPr>
        <w:t xml:space="preserve"> by deriving keys client-side directly from the user's Web3 wallet?</w:t>
      </w:r>
    </w:p>
    <w:p>
      <w:pPr>
        <w:spacing w:after="320" w:line="276" w:lineRule="auto"/>
      </w:pPr>
      <w:r>
        <w:rPr>
          <w:rFonts w:ascii="Calibri" w:hAnsi="Calibri"/>
          <w:b w:val="0"/>
          <w:i w:val="0"/>
          <w:sz w:val="22"/>
        </w:rPr>
        <w:t xml:space="preserve">This is the foundation of </w:t>
      </w:r>
      <w:r>
        <w:rPr>
          <w:rFonts w:ascii="Calibri" w:hAnsi="Calibri"/>
          <w:b/>
          <w:i w:val="0"/>
          <w:sz w:val="22"/>
        </w:rPr>
        <w:t>SecureVault</w:t>
      </w:r>
      <w:r>
        <w:rPr>
          <w:rFonts w:ascii="Calibri" w:hAnsi="Calibri"/>
          <w:b w:val="0"/>
          <w:i w:val="0"/>
          <w:sz w:val="22"/>
        </w:rPr>
        <w:t>. By upgrading from external key-node networks to pure client-side Web Crypto API encryption, SecureVault guarantees zero third-party trust, zero master password friction, and total user sovereignty over digital credentials.</w:t>
      </w:r>
    </w:p>
    <w:p>
      <w:pPr>
        <w:spacing w:before="360" w:after="160"/>
      </w:pPr>
      <w:r>
        <w:rPr>
          <w:rFonts w:ascii="Arial" w:hAnsi="Arial"/>
          <w:b/>
          <w:i w:val="0"/>
          <w:color w:val="1F2937"/>
          <w:sz w:val="32"/>
        </w:rPr>
        <w:t>The Technical Architecture Stack</w:t>
      </w:r>
    </w:p>
    <w:p>
      <w:pPr>
        <w:spacing w:after="200" w:line="276" w:lineRule="auto"/>
      </w:pPr>
      <w:r>
        <w:rPr>
          <w:rFonts w:ascii="Calibri" w:hAnsi="Calibri"/>
          <w:b w:val="0"/>
          <w:i w:val="0"/>
          <w:sz w:val="22"/>
        </w:rPr>
        <w:t>To eliminate centralized vulnerability vectors and eliminate dependency on external key management services, SecureVault leverages a production-grade Web3 stack:</w:t>
      </w:r>
    </w:p>
    <w:tbl>
      <w:tblPr>
        <w:tblStyle w:val="LightShading-Accent1"/>
        <w:tblW w:type="auto" w:w="0"/>
        <w:tblLook w:firstColumn="1" w:firstRow="1" w:lastColumn="0" w:lastRow="0" w:noHBand="0" w:noVBand="1" w:val="04A0"/>
      </w:tblPr>
      <w:tblGrid>
        <w:gridCol w:w="3120"/>
        <w:gridCol w:w="3120"/>
        <w:gridCol w:w="3120"/>
      </w:tblGrid>
      <w:tr>
        <w:tc>
          <w:tcPr>
            <w:tcW w:type="dxa" w:w="3120"/>
            <w:shd w:fill="1F2937"/>
            <w:tcMar>
              <w:top w:w="100" w:type="dxa"/>
              <w:bottom w:w="100" w:type="dxa"/>
              <w:left w:w="120" w:type="dxa"/>
              <w:right w:w="120" w:type="dxa"/>
            </w:tcMar>
          </w:tcPr>
          <w:p>
            <w:r>
              <w:rPr>
                <w:rFonts w:ascii="Arial" w:hAnsi="Arial"/>
                <w:b/>
                <w:i w:val="0"/>
                <w:color w:val="FFFFFF"/>
                <w:sz w:val="20"/>
              </w:rPr>
              <w:t>Component</w:t>
            </w:r>
          </w:p>
        </w:tc>
        <w:tc>
          <w:tcPr>
            <w:tcW w:type="dxa" w:w="3120"/>
            <w:shd w:fill="1F2937"/>
            <w:tcMar>
              <w:top w:w="100" w:type="dxa"/>
              <w:bottom w:w="100" w:type="dxa"/>
              <w:left w:w="120" w:type="dxa"/>
              <w:right w:w="120" w:type="dxa"/>
            </w:tcMar>
          </w:tcPr>
          <w:p>
            <w:r>
              <w:rPr>
                <w:rFonts w:ascii="Arial" w:hAnsi="Arial"/>
                <w:b/>
                <w:i w:val="0"/>
                <w:color w:val="FFFFFF"/>
                <w:sz w:val="20"/>
              </w:rPr>
              <w:t>Technology Used</w:t>
            </w:r>
          </w:p>
        </w:tc>
        <w:tc>
          <w:tcPr>
            <w:tcW w:type="dxa" w:w="3120"/>
            <w:shd w:fill="1F2937"/>
            <w:tcMar>
              <w:top w:w="100" w:type="dxa"/>
              <w:bottom w:w="100" w:type="dxa"/>
              <w:left w:w="120" w:type="dxa"/>
              <w:right w:w="120" w:type="dxa"/>
            </w:tcMar>
          </w:tcPr>
          <w:p>
            <w:r>
              <w:rPr>
                <w:rFonts w:ascii="Arial" w:hAnsi="Arial"/>
                <w:b/>
                <w:i w:val="0"/>
                <w:color w:val="FFFFFF"/>
                <w:sz w:val="20"/>
              </w:rPr>
              <w:t>Primary Role &amp; Purpose</w:t>
            </w:r>
          </w:p>
        </w:tc>
      </w:tr>
      <w:tr>
        <w:tc>
          <w:tcPr>
            <w:tcW w:type="dxa" w:w="3120"/>
            <w:shd w:fill="F9FAFB"/>
            <w:tcMar>
              <w:top w:w="100" w:type="dxa"/>
              <w:bottom w:w="100" w:type="dxa"/>
              <w:left w:w="120" w:type="dxa"/>
              <w:right w:w="120" w:type="dxa"/>
            </w:tcMar>
            <w:tcBorders>
              <w:top w:val="single" w:sz="12" w:space="0" w:color="E5E7EB"/>
              <w:bottom w:val="single" w:sz="12" w:space="0" w:color="E5E7EB"/>
              <w:left w:val="single" w:sz="12" w:space="0" w:color="E5E7EB"/>
              <w:right w:val="single" w:sz="12" w:space="0" w:color="E5E7EB"/>
            </w:tcBorders>
          </w:tcPr>
          <w:p>
            <w:r>
              <w:rPr>
                <w:rFonts w:ascii="Calibri" w:hAnsi="Calibri"/>
                <w:b w:val="0"/>
                <w:i w:val="0"/>
                <w:sz w:val="20"/>
              </w:rPr>
              <w:t>Frontend UI</w:t>
            </w:r>
          </w:p>
        </w:tc>
        <w:tc>
          <w:tcPr>
            <w:tcW w:type="dxa" w:w="3120"/>
            <w:shd w:fill="F9FAFB"/>
            <w:tcMar>
              <w:top w:w="100" w:type="dxa"/>
              <w:bottom w:w="100" w:type="dxa"/>
              <w:left w:w="120" w:type="dxa"/>
              <w:right w:w="120" w:type="dxa"/>
            </w:tcMar>
            <w:tcBorders>
              <w:top w:val="single" w:sz="12" w:space="0" w:color="E5E7EB"/>
              <w:bottom w:val="single" w:sz="12" w:space="0" w:color="E5E7EB"/>
              <w:left w:val="single" w:sz="12" w:space="0" w:color="E5E7EB"/>
              <w:right w:val="single" w:sz="12" w:space="0" w:color="E5E7EB"/>
            </w:tcBorders>
          </w:tcPr>
          <w:p>
            <w:r>
              <w:rPr>
                <w:rFonts w:ascii="Calibri" w:hAnsi="Calibri"/>
                <w:b w:val="0"/>
                <w:i w:val="0"/>
                <w:sz w:val="20"/>
              </w:rPr>
              <w:t>Next.js 14 &amp; Ant Design (Antd)</w:t>
            </w:r>
          </w:p>
        </w:tc>
        <w:tc>
          <w:tcPr>
            <w:tcW w:type="dxa" w:w="3120"/>
            <w:shd w:fill="F9FAFB"/>
            <w:tcMar>
              <w:top w:w="100" w:type="dxa"/>
              <w:bottom w:w="100" w:type="dxa"/>
              <w:left w:w="120" w:type="dxa"/>
              <w:right w:w="120" w:type="dxa"/>
            </w:tcMar>
            <w:tcBorders>
              <w:top w:val="single" w:sz="12" w:space="0" w:color="E5E7EB"/>
              <w:bottom w:val="single" w:sz="12" w:space="0" w:color="E5E7EB"/>
              <w:left w:val="single" w:sz="12" w:space="0" w:color="E5E7EB"/>
              <w:right w:val="single" w:sz="12" w:space="0" w:color="E5E7EB"/>
            </w:tcBorders>
          </w:tcPr>
          <w:p>
            <w:r>
              <w:rPr>
                <w:rFonts w:ascii="Calibri" w:hAnsi="Calibri"/>
                <w:b w:val="0"/>
                <w:i w:val="0"/>
                <w:sz w:val="20"/>
              </w:rPr>
              <w:t>Provides a responsive dashboard for password management, generation, and clipboard integration.</w:t>
            </w:r>
          </w:p>
        </w:tc>
      </w:tr>
      <w:tr>
        <w:tc>
          <w:tcPr>
            <w:tcW w:type="dxa" w:w="3120"/>
            <w:shd w:fill="FFFFFF"/>
            <w:tcMar>
              <w:top w:w="100" w:type="dxa"/>
              <w:bottom w:w="100" w:type="dxa"/>
              <w:left w:w="120" w:type="dxa"/>
              <w:right w:w="120" w:type="dxa"/>
            </w:tcMar>
            <w:tcBorders>
              <w:top w:val="single" w:sz="12" w:space="0" w:color="E5E7EB"/>
              <w:bottom w:val="single" w:sz="12" w:space="0" w:color="E5E7EB"/>
              <w:left w:val="single" w:sz="12" w:space="0" w:color="E5E7EB"/>
              <w:right w:val="single" w:sz="12" w:space="0" w:color="E5E7EB"/>
            </w:tcBorders>
          </w:tcPr>
          <w:p>
            <w:r>
              <w:rPr>
                <w:rFonts w:ascii="Calibri" w:hAnsi="Calibri"/>
                <w:b w:val="0"/>
                <w:i w:val="0"/>
                <w:sz w:val="20"/>
              </w:rPr>
              <w:t>Web3 Client</w:t>
            </w:r>
          </w:p>
        </w:tc>
        <w:tc>
          <w:tcPr>
            <w:tcW w:type="dxa" w:w="3120"/>
            <w:shd w:fill="FFFFFF"/>
            <w:tcMar>
              <w:top w:w="100" w:type="dxa"/>
              <w:bottom w:w="100" w:type="dxa"/>
              <w:left w:w="120" w:type="dxa"/>
              <w:right w:w="120" w:type="dxa"/>
            </w:tcMar>
            <w:tcBorders>
              <w:top w:val="single" w:sz="12" w:space="0" w:color="E5E7EB"/>
              <w:bottom w:val="single" w:sz="12" w:space="0" w:color="E5E7EB"/>
              <w:left w:val="single" w:sz="12" w:space="0" w:color="E5E7EB"/>
              <w:right w:val="single" w:sz="12" w:space="0" w:color="E5E7EB"/>
            </w:tcBorders>
          </w:tcPr>
          <w:p>
            <w:r>
              <w:rPr>
                <w:rFonts w:ascii="Calibri" w:hAnsi="Calibri"/>
                <w:b w:val="0"/>
                <w:i w:val="0"/>
                <w:sz w:val="20"/>
              </w:rPr>
              <w:t>Ethers.js, Wagmi &amp; RainbowKit</w:t>
            </w:r>
          </w:p>
        </w:tc>
        <w:tc>
          <w:tcPr>
            <w:tcW w:type="dxa" w:w="3120"/>
            <w:shd w:fill="FFFFFF"/>
            <w:tcMar>
              <w:top w:w="100" w:type="dxa"/>
              <w:bottom w:w="100" w:type="dxa"/>
              <w:left w:w="120" w:type="dxa"/>
              <w:right w:w="120" w:type="dxa"/>
            </w:tcMar>
            <w:tcBorders>
              <w:top w:val="single" w:sz="12" w:space="0" w:color="E5E7EB"/>
              <w:bottom w:val="single" w:sz="12" w:space="0" w:color="E5E7EB"/>
              <w:left w:val="single" w:sz="12" w:space="0" w:color="E5E7EB"/>
              <w:right w:val="single" w:sz="12" w:space="0" w:color="E5E7EB"/>
            </w:tcBorders>
          </w:tcPr>
          <w:p>
            <w:r>
              <w:rPr>
                <w:rFonts w:ascii="Calibri" w:hAnsi="Calibri"/>
                <w:b w:val="0"/>
                <w:i w:val="0"/>
                <w:sz w:val="20"/>
              </w:rPr>
              <w:t>Manages wallet connection, network switching to BSC Testnet, and transaction signing.</w:t>
            </w:r>
          </w:p>
        </w:tc>
      </w:tr>
      <w:tr>
        <w:tc>
          <w:tcPr>
            <w:tcW w:type="dxa" w:w="3120"/>
            <w:shd w:fill="F9FAFB"/>
            <w:tcMar>
              <w:top w:w="100" w:type="dxa"/>
              <w:bottom w:w="100" w:type="dxa"/>
              <w:left w:w="120" w:type="dxa"/>
              <w:right w:w="120" w:type="dxa"/>
            </w:tcMar>
            <w:tcBorders>
              <w:top w:val="single" w:sz="12" w:space="0" w:color="E5E7EB"/>
              <w:bottom w:val="single" w:sz="12" w:space="0" w:color="E5E7EB"/>
              <w:left w:val="single" w:sz="12" w:space="0" w:color="E5E7EB"/>
              <w:right w:val="single" w:sz="12" w:space="0" w:color="E5E7EB"/>
            </w:tcBorders>
          </w:tcPr>
          <w:p>
            <w:r>
              <w:rPr>
                <w:rFonts w:ascii="Calibri" w:hAnsi="Calibri"/>
                <w:b w:val="0"/>
                <w:i w:val="0"/>
                <w:sz w:val="20"/>
              </w:rPr>
              <w:t>Key Derivation</w:t>
            </w:r>
          </w:p>
        </w:tc>
        <w:tc>
          <w:tcPr>
            <w:tcW w:type="dxa" w:w="3120"/>
            <w:shd w:fill="F9FAFB"/>
            <w:tcMar>
              <w:top w:w="100" w:type="dxa"/>
              <w:bottom w:w="100" w:type="dxa"/>
              <w:left w:w="120" w:type="dxa"/>
              <w:right w:w="120" w:type="dxa"/>
            </w:tcMar>
            <w:tcBorders>
              <w:top w:val="single" w:sz="12" w:space="0" w:color="E5E7EB"/>
              <w:bottom w:val="single" w:sz="12" w:space="0" w:color="E5E7EB"/>
              <w:left w:val="single" w:sz="12" w:space="0" w:color="E5E7EB"/>
              <w:right w:val="single" w:sz="12" w:space="0" w:color="E5E7EB"/>
            </w:tcBorders>
          </w:tcPr>
          <w:p>
            <w:r>
              <w:rPr>
                <w:rFonts w:ascii="Calibri" w:hAnsi="Calibri"/>
                <w:b w:val="0"/>
                <w:i w:val="0"/>
                <w:sz w:val="20"/>
              </w:rPr>
              <w:t>MetaMask Signature + SHA-256</w:t>
            </w:r>
          </w:p>
        </w:tc>
        <w:tc>
          <w:tcPr>
            <w:tcW w:type="dxa" w:w="3120"/>
            <w:shd w:fill="F9FAFB"/>
            <w:tcMar>
              <w:top w:w="100" w:type="dxa"/>
              <w:bottom w:w="100" w:type="dxa"/>
              <w:left w:w="120" w:type="dxa"/>
              <w:right w:w="120" w:type="dxa"/>
            </w:tcMar>
            <w:tcBorders>
              <w:top w:val="single" w:sz="12" w:space="0" w:color="E5E7EB"/>
              <w:bottom w:val="single" w:sz="12" w:space="0" w:color="E5E7EB"/>
              <w:left w:val="single" w:sz="12" w:space="0" w:color="E5E7EB"/>
              <w:right w:val="single" w:sz="12" w:space="0" w:color="E5E7EB"/>
            </w:tcBorders>
          </w:tcPr>
          <w:p>
            <w:r>
              <w:rPr>
                <w:rFonts w:ascii="Calibri" w:hAnsi="Calibri"/>
                <w:b w:val="0"/>
                <w:i w:val="0"/>
                <w:sz w:val="20"/>
              </w:rPr>
              <w:t>Derives a 256-bit AES CryptoKey deterministically from the user's wallet signature.</w:t>
            </w:r>
          </w:p>
        </w:tc>
      </w:tr>
      <w:tr>
        <w:tc>
          <w:tcPr>
            <w:tcW w:type="dxa" w:w="3120"/>
            <w:shd w:fill="FFFFFF"/>
            <w:tcMar>
              <w:top w:w="100" w:type="dxa"/>
              <w:bottom w:w="100" w:type="dxa"/>
              <w:left w:w="120" w:type="dxa"/>
              <w:right w:w="120" w:type="dxa"/>
            </w:tcMar>
            <w:tcBorders>
              <w:top w:val="single" w:sz="12" w:space="0" w:color="E5E7EB"/>
              <w:bottom w:val="single" w:sz="12" w:space="0" w:color="E5E7EB"/>
              <w:left w:val="single" w:sz="12" w:space="0" w:color="E5E7EB"/>
              <w:right w:val="single" w:sz="12" w:space="0" w:color="E5E7EB"/>
            </w:tcBorders>
          </w:tcPr>
          <w:p>
            <w:r>
              <w:rPr>
                <w:rFonts w:ascii="Calibri" w:hAnsi="Calibri"/>
                <w:b w:val="0"/>
                <w:i w:val="0"/>
                <w:sz w:val="20"/>
              </w:rPr>
              <w:t>Symmetric Encryption</w:t>
            </w:r>
          </w:p>
        </w:tc>
        <w:tc>
          <w:tcPr>
            <w:tcW w:type="dxa" w:w="3120"/>
            <w:shd w:fill="FFFFFF"/>
            <w:tcMar>
              <w:top w:w="100" w:type="dxa"/>
              <w:bottom w:w="100" w:type="dxa"/>
              <w:left w:w="120" w:type="dxa"/>
              <w:right w:w="120" w:type="dxa"/>
            </w:tcMar>
            <w:tcBorders>
              <w:top w:val="single" w:sz="12" w:space="0" w:color="E5E7EB"/>
              <w:bottom w:val="single" w:sz="12" w:space="0" w:color="E5E7EB"/>
              <w:left w:val="single" w:sz="12" w:space="0" w:color="E5E7EB"/>
              <w:right w:val="single" w:sz="12" w:space="0" w:color="E5E7EB"/>
            </w:tcBorders>
          </w:tcPr>
          <w:p>
            <w:r>
              <w:rPr>
                <w:rFonts w:ascii="Calibri" w:hAnsi="Calibri"/>
                <w:b w:val="0"/>
                <w:i w:val="0"/>
                <w:sz w:val="20"/>
              </w:rPr>
              <w:t>Web Crypto API (AES-256-GCM)</w:t>
            </w:r>
          </w:p>
        </w:tc>
        <w:tc>
          <w:tcPr>
            <w:tcW w:type="dxa" w:w="3120"/>
            <w:shd w:fill="FFFFFF"/>
            <w:tcMar>
              <w:top w:w="100" w:type="dxa"/>
              <w:bottom w:w="100" w:type="dxa"/>
              <w:left w:w="120" w:type="dxa"/>
              <w:right w:w="120" w:type="dxa"/>
            </w:tcMar>
            <w:tcBorders>
              <w:top w:val="single" w:sz="12" w:space="0" w:color="E5E7EB"/>
              <w:bottom w:val="single" w:sz="12" w:space="0" w:color="E5E7EB"/>
              <w:left w:val="single" w:sz="12" w:space="0" w:color="E5E7EB"/>
              <w:right w:val="single" w:sz="12" w:space="0" w:color="E5E7EB"/>
            </w:tcBorders>
          </w:tcPr>
          <w:p>
            <w:r>
              <w:rPr>
                <w:rFonts w:ascii="Calibri" w:hAnsi="Calibri"/>
                <w:b w:val="0"/>
                <w:i w:val="0"/>
                <w:sz w:val="20"/>
              </w:rPr>
              <w:t>Performs hardware-accelerated client-side encryption with 96-bit random IVs in the browser.</w:t>
            </w:r>
          </w:p>
        </w:tc>
      </w:tr>
      <w:tr>
        <w:tc>
          <w:tcPr>
            <w:tcW w:type="dxa" w:w="3120"/>
            <w:shd w:fill="F9FAFB"/>
            <w:tcMar>
              <w:top w:w="100" w:type="dxa"/>
              <w:bottom w:w="100" w:type="dxa"/>
              <w:left w:w="120" w:type="dxa"/>
              <w:right w:w="120" w:type="dxa"/>
            </w:tcMar>
            <w:tcBorders>
              <w:top w:val="single" w:sz="12" w:space="0" w:color="E5E7EB"/>
              <w:bottom w:val="single" w:sz="12" w:space="0" w:color="E5E7EB"/>
              <w:left w:val="single" w:sz="12" w:space="0" w:color="E5E7EB"/>
              <w:right w:val="single" w:sz="12" w:space="0" w:color="E5E7EB"/>
            </w:tcBorders>
          </w:tcPr>
          <w:p>
            <w:r>
              <w:rPr>
                <w:rFonts w:ascii="Calibri" w:hAnsi="Calibri"/>
                <w:b w:val="0"/>
                <w:i w:val="0"/>
                <w:sz w:val="20"/>
              </w:rPr>
              <w:t>Decentralized Storage</w:t>
            </w:r>
          </w:p>
        </w:tc>
        <w:tc>
          <w:tcPr>
            <w:tcW w:type="dxa" w:w="3120"/>
            <w:shd w:fill="F9FAFB"/>
            <w:tcMar>
              <w:top w:w="100" w:type="dxa"/>
              <w:bottom w:w="100" w:type="dxa"/>
              <w:left w:w="120" w:type="dxa"/>
              <w:right w:w="120" w:type="dxa"/>
            </w:tcMar>
            <w:tcBorders>
              <w:top w:val="single" w:sz="12" w:space="0" w:color="E5E7EB"/>
              <w:bottom w:val="single" w:sz="12" w:space="0" w:color="E5E7EB"/>
              <w:left w:val="single" w:sz="12" w:space="0" w:color="E5E7EB"/>
              <w:right w:val="single" w:sz="12" w:space="0" w:color="E5E7EB"/>
            </w:tcBorders>
          </w:tcPr>
          <w:p>
            <w:r>
              <w:rPr>
                <w:rFonts w:ascii="Calibri" w:hAnsi="Calibri"/>
                <w:b w:val="0"/>
                <w:i w:val="0"/>
                <w:sz w:val="20"/>
              </w:rPr>
              <w:t>IPFS (via Pinata)</w:t>
            </w:r>
          </w:p>
        </w:tc>
        <w:tc>
          <w:tcPr>
            <w:tcW w:type="dxa" w:w="3120"/>
            <w:shd w:fill="F9FAFB"/>
            <w:tcMar>
              <w:top w:w="100" w:type="dxa"/>
              <w:bottom w:w="100" w:type="dxa"/>
              <w:left w:w="120" w:type="dxa"/>
              <w:right w:w="120" w:type="dxa"/>
            </w:tcMar>
            <w:tcBorders>
              <w:top w:val="single" w:sz="12" w:space="0" w:color="E5E7EB"/>
              <w:bottom w:val="single" w:sz="12" w:space="0" w:color="E5E7EB"/>
              <w:left w:val="single" w:sz="12" w:space="0" w:color="E5E7EB"/>
              <w:right w:val="single" w:sz="12" w:space="0" w:color="E5E7EB"/>
            </w:tcBorders>
          </w:tcPr>
          <w:p>
            <w:r>
              <w:rPr>
                <w:rFonts w:ascii="Calibri" w:hAnsi="Calibri"/>
                <w:b w:val="0"/>
                <w:i w:val="0"/>
                <w:sz w:val="20"/>
              </w:rPr>
              <w:t>Stores encrypted JSON payloads off-chain to keep gas costs minimal.</w:t>
            </w:r>
          </w:p>
        </w:tc>
      </w:tr>
      <w:tr>
        <w:tc>
          <w:tcPr>
            <w:tcW w:type="dxa" w:w="3120"/>
            <w:shd w:fill="FFFFFF"/>
            <w:tcMar>
              <w:top w:w="100" w:type="dxa"/>
              <w:bottom w:w="100" w:type="dxa"/>
              <w:left w:w="120" w:type="dxa"/>
              <w:right w:w="120" w:type="dxa"/>
            </w:tcMar>
            <w:tcBorders>
              <w:top w:val="single" w:sz="12" w:space="0" w:color="E5E7EB"/>
              <w:bottom w:val="single" w:sz="12" w:space="0" w:color="E5E7EB"/>
              <w:left w:val="single" w:sz="12" w:space="0" w:color="E5E7EB"/>
              <w:right w:val="single" w:sz="12" w:space="0" w:color="E5E7EB"/>
            </w:tcBorders>
          </w:tcPr>
          <w:p>
            <w:r>
              <w:rPr>
                <w:rFonts w:ascii="Calibri" w:hAnsi="Calibri"/>
                <w:b w:val="0"/>
                <w:i w:val="0"/>
                <w:sz w:val="20"/>
              </w:rPr>
              <w:t>On-Chain Registry</w:t>
            </w:r>
          </w:p>
        </w:tc>
        <w:tc>
          <w:tcPr>
            <w:tcW w:type="dxa" w:w="3120"/>
            <w:shd w:fill="FFFFFF"/>
            <w:tcMar>
              <w:top w:w="100" w:type="dxa"/>
              <w:bottom w:w="100" w:type="dxa"/>
              <w:left w:w="120" w:type="dxa"/>
              <w:right w:w="120" w:type="dxa"/>
            </w:tcMar>
            <w:tcBorders>
              <w:top w:val="single" w:sz="12" w:space="0" w:color="E5E7EB"/>
              <w:bottom w:val="single" w:sz="12" w:space="0" w:color="E5E7EB"/>
              <w:left w:val="single" w:sz="12" w:space="0" w:color="E5E7EB"/>
              <w:right w:val="single" w:sz="12" w:space="0" w:color="E5E7EB"/>
            </w:tcBorders>
          </w:tcPr>
          <w:p>
            <w:r>
              <w:rPr>
                <w:rFonts w:ascii="Calibri" w:hAnsi="Calibri"/>
                <w:b w:val="0"/>
                <w:i w:val="0"/>
                <w:sz w:val="20"/>
              </w:rPr>
              <w:t>Solidity (Hardhat on BNB Chain)</w:t>
            </w:r>
          </w:p>
        </w:tc>
        <w:tc>
          <w:tcPr>
            <w:tcW w:type="dxa" w:w="3120"/>
            <w:shd w:fill="FFFFFF"/>
            <w:tcMar>
              <w:top w:w="100" w:type="dxa"/>
              <w:bottom w:w="100" w:type="dxa"/>
              <w:left w:w="120" w:type="dxa"/>
              <w:right w:w="120" w:type="dxa"/>
            </w:tcMar>
            <w:tcBorders>
              <w:top w:val="single" w:sz="12" w:space="0" w:color="E5E7EB"/>
              <w:bottom w:val="single" w:sz="12" w:space="0" w:color="E5E7EB"/>
              <w:left w:val="single" w:sz="12" w:space="0" w:color="E5E7EB"/>
              <w:right w:val="single" w:sz="12" w:space="0" w:color="E5E7EB"/>
            </w:tcBorders>
          </w:tcPr>
          <w:p>
            <w:r>
              <w:rPr>
                <w:rFonts w:ascii="Calibri" w:hAnsi="Calibri"/>
                <w:b w:val="0"/>
                <w:i w:val="0"/>
                <w:sz w:val="20"/>
              </w:rPr>
              <w:t>KeyManager smart contract logs IPFS CIDs tied immutably to user wallet addresses.</w:t>
            </w:r>
          </w:p>
        </w:tc>
      </w:tr>
    </w:tbl>
    <w:p>
      <w:pPr>
        <w:spacing w:after="240"/>
      </w:pPr>
    </w:p>
    <w:p>
      <w:pPr>
        <w:spacing w:before="360" w:after="160"/>
      </w:pPr>
      <w:r>
        <w:rPr>
          <w:rFonts w:ascii="Arial" w:hAnsi="Arial"/>
          <w:b/>
          <w:i w:val="0"/>
          <w:color w:val="1F2937"/>
          <w:sz w:val="32"/>
        </w:rPr>
        <w:t>Workflow Architecture: The End-to-End Data Pipeline</w:t>
      </w:r>
    </w:p>
    <w:p>
      <w:pPr>
        <w:spacing w:after="200" w:line="276" w:lineRule="auto"/>
      </w:pPr>
      <w:r>
        <w:rPr>
          <w:rFonts w:ascii="Calibri" w:hAnsi="Calibri"/>
          <w:b w:val="0"/>
          <w:i w:val="0"/>
          <w:sz w:val="22"/>
        </w:rPr>
        <w:t>Plaintext passwords never touch a network socket. The workflow below illustrates how key derivation, AES encryption, IPFS pinning, and blockchain registration coordinate seamlessly:</w:t>
      </w:r>
    </w:p>
    <w:p>
      <w:pPr>
        <w:spacing w:before="120" w:after="80"/>
        <w:jc w:val="center"/>
      </w:pPr>
      <w:r>
        <w:drawing>
          <wp:inline xmlns:a="http://schemas.openxmlformats.org/drawingml/2006/main" xmlns:pic="http://schemas.openxmlformats.org/drawingml/2006/picture">
            <wp:extent cx="5029200" cy="7543800"/>
            <wp:docPr id="1" name="Picture 1"/>
            <wp:cNvGraphicFramePr>
              <a:graphicFrameLocks noChangeAspect="1"/>
            </wp:cNvGraphicFramePr>
            <a:graphic>
              <a:graphicData uri="http://schemas.openxmlformats.org/drawingml/2006/picture">
                <pic:pic>
                  <pic:nvPicPr>
                    <pic:cNvPr id="0" name="lit-pm-flow.png.png"/>
                    <pic:cNvPicPr/>
                  </pic:nvPicPr>
                  <pic:blipFill>
                    <a:blip r:embed="rId9"/>
                    <a:stretch>
                      <a:fillRect/>
                    </a:stretch>
                  </pic:blipFill>
                  <pic:spPr>
                    <a:xfrm>
                      <a:off x="0" y="0"/>
                      <a:ext cx="5029200" cy="7543800"/>
                    </a:xfrm>
                    <a:prstGeom prst="rect"/>
                  </pic:spPr>
                </pic:pic>
              </a:graphicData>
            </a:graphic>
          </wp:inline>
        </w:drawing>
      </w:r>
    </w:p>
    <w:p>
      <w:pPr>
        <w:spacing w:after="280"/>
        <w:jc w:val="center"/>
      </w:pPr>
      <w:r>
        <w:rPr>
          <w:rFonts w:ascii="Calibri" w:hAnsi="Calibri"/>
          <w:b w:val="0"/>
          <w:i/>
          <w:color w:val="6B7280"/>
          <w:sz w:val="18"/>
        </w:rPr>
        <w:t>Figure 1: End-to-end cryptographic pipeline and smart contract synchronization in SecureVault.</w:t>
      </w:r>
    </w:p>
    <w:p>
      <w:pPr>
        <w:pStyle w:val="ListBullet"/>
        <w:spacing w:after="80" w:line="276" w:lineRule="auto"/>
      </w:pPr>
      <w:r>
        <w:rPr>
          <w:rFonts w:ascii="Calibri" w:hAnsi="Calibri"/>
          <w:b/>
          <w:i w:val="0"/>
          <w:sz w:val="22"/>
        </w:rPr>
        <w:t xml:space="preserve">1. Wallet Authentication: </w:t>
      </w:r>
      <w:r>
        <w:rPr>
          <w:rFonts w:ascii="Calibri" w:hAnsi="Calibri"/>
          <w:b w:val="0"/>
          <w:i w:val="0"/>
          <w:sz w:val="22"/>
        </w:rPr>
        <w:t>The user connects their Web3 wallet (MetaMask) to the BSC Testnet network.</w:t>
      </w:r>
    </w:p>
    <w:p>
      <w:pPr>
        <w:pStyle w:val="ListBullet"/>
        <w:spacing w:after="80" w:line="276" w:lineRule="auto"/>
      </w:pPr>
      <w:r>
        <w:rPr>
          <w:rFonts w:ascii="Calibri" w:hAnsi="Calibri"/>
          <w:b/>
          <w:i w:val="0"/>
          <w:sz w:val="22"/>
        </w:rPr>
        <w:t xml:space="preserve">2. Deterministic Key Derivation: </w:t>
      </w:r>
      <w:r>
        <w:rPr>
          <w:rFonts w:ascii="Calibri" w:hAnsi="Calibri"/>
          <w:b w:val="0"/>
          <w:i w:val="0"/>
          <w:sz w:val="22"/>
        </w:rPr>
        <w:t>The user signs a fixed, human-readable key-derivation message. The signature is digested via SHA-256 into a 32-byte AES-256-GCM CryptoKey using `crypto.subtle.importKey`.</w:t>
      </w:r>
    </w:p>
    <w:p>
      <w:pPr>
        <w:pStyle w:val="ListBullet"/>
        <w:spacing w:after="80" w:line="276" w:lineRule="auto"/>
      </w:pPr>
      <w:r>
        <w:rPr>
          <w:rFonts w:ascii="Calibri" w:hAnsi="Calibri"/>
          <w:b/>
          <w:i w:val="0"/>
          <w:sz w:val="22"/>
        </w:rPr>
        <w:t xml:space="preserve">3. Client-Side AES-256-GCM Encryption: </w:t>
      </w:r>
      <w:r>
        <w:rPr>
          <w:rFonts w:ascii="Calibri" w:hAnsi="Calibri"/>
          <w:b w:val="0"/>
          <w:i w:val="0"/>
          <w:sz w:val="22"/>
        </w:rPr>
        <w:t>The browser generates a 96-bit random Initialization Vector (IV) and encrypts the credential payload using the derived CryptoKey.</w:t>
      </w:r>
    </w:p>
    <w:p>
      <w:pPr>
        <w:pStyle w:val="ListBullet"/>
        <w:spacing w:after="80" w:line="276" w:lineRule="auto"/>
      </w:pPr>
      <w:r>
        <w:rPr>
          <w:rFonts w:ascii="Calibri" w:hAnsi="Calibri"/>
          <w:b/>
          <w:i w:val="0"/>
          <w:sz w:val="22"/>
        </w:rPr>
        <w:t xml:space="preserve">4. IPFS Archival: </w:t>
      </w:r>
      <w:r>
        <w:rPr>
          <w:rFonts w:ascii="Calibri" w:hAnsi="Calibri"/>
          <w:b w:val="0"/>
          <w:i w:val="0"/>
          <w:sz w:val="22"/>
        </w:rPr>
        <w:t>The base64 ciphertext and IV are formatted into a JSON payload `{ ciphertext, iv, version: 'aes-gcm-v1' }` and pinned to IPFS via Pinata, returning a unique IPFS CID.</w:t>
      </w:r>
    </w:p>
    <w:p>
      <w:pPr>
        <w:pStyle w:val="ListBullet"/>
        <w:spacing w:after="80" w:line="276" w:lineRule="auto"/>
      </w:pPr>
      <w:r>
        <w:rPr>
          <w:rFonts w:ascii="Calibri" w:hAnsi="Calibri"/>
          <w:b/>
          <w:i w:val="0"/>
          <w:sz w:val="22"/>
        </w:rPr>
        <w:t xml:space="preserve">5. On-Chain Anchoring: </w:t>
      </w:r>
      <w:r>
        <w:rPr>
          <w:rFonts w:ascii="Calibri" w:hAnsi="Calibri"/>
          <w:b w:val="0"/>
          <w:i w:val="0"/>
          <w:sz w:val="22"/>
        </w:rPr>
        <w:t>The client calls `addKey(ipfsHash)` or `updateKey(id, ipfsHash)` on the `KeyManager.sol` smart contract on BNB Chain Testnet.</w:t>
      </w:r>
    </w:p>
    <w:p>
      <w:pPr>
        <w:pStyle w:val="ListBullet"/>
        <w:spacing w:after="80" w:line="276" w:lineRule="auto"/>
      </w:pPr>
      <w:r>
        <w:rPr>
          <w:rFonts w:ascii="Calibri" w:hAnsi="Calibri"/>
          <w:b/>
          <w:i w:val="0"/>
          <w:sz w:val="22"/>
        </w:rPr>
        <w:t xml:space="preserve">6. Graph Subgraph Indexing: </w:t>
      </w:r>
      <w:r>
        <w:rPr>
          <w:rFonts w:ascii="Calibri" w:hAnsi="Calibri"/>
          <w:b w:val="0"/>
          <w:i w:val="0"/>
          <w:sz w:val="22"/>
        </w:rPr>
        <w:t>The Graph indexer listens for `KeyAdded` / `KeyUpdated` events, fetches the JSON file via `ipfs.cat`, and caches the payload fields for sub-second GraphQL retrieval.</w:t>
      </w:r>
    </w:p>
    <w:p>
      <w:pPr>
        <w:spacing w:after="240"/>
      </w:pPr>
    </w:p>
    <w:p>
      <w:pPr>
        <w:spacing w:before="360" w:after="160"/>
      </w:pPr>
      <w:r>
        <w:rPr>
          <w:rFonts w:ascii="Arial" w:hAnsi="Arial"/>
          <w:b/>
          <w:i w:val="0"/>
          <w:color w:val="1F2937"/>
          <w:sz w:val="32"/>
        </w:rPr>
        <w:t>Deep Dive 1: Deterministic Wallet-Based Key Derivation</w:t>
      </w:r>
    </w:p>
    <w:p>
      <w:pPr>
        <w:spacing w:after="200" w:line="276" w:lineRule="auto"/>
      </w:pPr>
      <w:r>
        <w:rPr>
          <w:rFonts w:ascii="Calibri" w:hAnsi="Calibri"/>
          <w:b w:val="0"/>
          <w:i w:val="0"/>
          <w:sz w:val="22"/>
        </w:rPr>
        <w:t>A major bottleneck in Web3 encryption is secret key management. Traditional approaches require users to remember master passwords or rely on external key-share node networks. SecureVault solves this by deriving the encryption key directly from the user's Web3 wallet signature using the Web Crypto API (`client/lib/crypto.js`):</w:t>
      </w:r>
    </w:p>
    <w:tbl>
      <w:tblPr>
        <w:tblW w:type="auto" w:w="0"/>
        <w:tblLayout w:type="fixed"/>
        <w:tblLook w:firstColumn="1" w:firstRow="1" w:lastColumn="0" w:lastRow="0" w:noHBand="0" w:noVBand="1" w:val="04A0"/>
      </w:tblPr>
      <w:tblGrid>
        <w:gridCol w:w="8640"/>
      </w:tblGrid>
      <w:tr>
        <w:tc>
          <w:tcPr>
            <w:tcW w:type="dxa" w:w="9360"/>
            <w:shd w:fill="F4F4F6"/>
            <w:tcMar>
              <w:top w:w="144" w:type="dxa"/>
              <w:bottom w:w="144" w:type="dxa"/>
              <w:left w:w="216" w:type="dxa"/>
              <w:right w:w="216" w:type="dxa"/>
            </w:tcMar>
            <w:tcBorders>
              <w:top w:val="single" w:sz="12" w:space="0" w:color="E0E0E0"/>
              <w:bottom w:val="single" w:sz="12" w:space="0" w:color="E0E0E0"/>
              <w:left w:val="single" w:sz="12" w:space="0" w:color="E0E0E0"/>
              <w:right w:val="single" w:sz="12" w:space="0" w:color="E0E0E0"/>
            </w:tcBorders>
          </w:tcPr>
          <w:p>
            <w:pPr>
              <w:spacing w:before="0" w:after="0" w:line="276" w:lineRule="auto"/>
            </w:pPr>
            <w:r>
              <w:rPr>
                <w:rFonts w:ascii="Courier New" w:hAnsi="Courier New"/>
                <w:color w:val="24292E"/>
                <w:sz w:val="18"/>
              </w:rPr>
              <w:t>// client/lib/crypto.js - Deterministic Key Derivation</w:t>
              <w:br/>
              <w:t>const KEY_DERIVATION_MESSAGE = (address) =&gt;</w:t>
              <w:br/>
              <w:t xml:space="preserve">  [</w:t>
              <w:br/>
              <w:t xml:space="preserve">    "SecureVault — Encryption Key Derivation",</w:t>
              <w:br/>
              <w:t xml:space="preserve">    "",</w:t>
              <w:br/>
              <w:t xml:space="preserve">    `Wallet: ${address.toLowerCase()}`,</w:t>
              <w:br/>
              <w:t xml:space="preserve">    "",</w:t>
              <w:br/>
              <w:t xml:space="preserve">    "Signing this message generates your AES-256-GCM encryption key.",</w:t>
              <w:br/>
              <w:t xml:space="preserve">    "It is deterministic: signing again with the same wallet always",</w:t>
              <w:br/>
              <w:t xml:space="preserve">    "produces the same key, so you can always decrypt your passwords.",</w:t>
              <w:br/>
              <w:t xml:space="preserve">    "",</w:t>
              <w:br/>
              <w:t xml:space="preserve">    "⚠️  Never share this signature with anyone.",</w:t>
              <w:br/>
              <w:t xml:space="preserve">  ].join("\n");</w:t>
              <w:br/>
              <w:br/>
              <w:t>export const deriveEncryptionKey = async (signer, address) =&gt; {</w:t>
              <w:br/>
              <w:t xml:space="preserve">  const message = KEY_DERIVATION_MESSAGE(address);</w:t>
              <w:br/>
              <w:t xml:space="preserve">  const signature = await signer.signMessage(message);</w:t>
              <w:br/>
              <w:br/>
              <w:t xml:space="preserve">  const encoded = new TextEncoder().encode(signature);</w:t>
              <w:br/>
              <w:t xml:space="preserve">  const digest = await crypto.subtle.digest("SHA-256", encoded);</w:t>
              <w:br/>
              <w:br/>
              <w:t xml:space="preserve">  return crypto.subtle.importKey("raw", digest, { name: "AES-GCM" }, false, [</w:t>
              <w:br/>
              <w:t xml:space="preserve">    "encrypt",</w:t>
              <w:br/>
              <w:t xml:space="preserve">    "decrypt",</w:t>
              <w:br/>
              <w:t xml:space="preserve">  ]);</w:t>
              <w:br/>
              <w:t>};</w:t>
            </w:r>
          </w:p>
        </w:tc>
      </w:tr>
    </w:tbl>
    <w:p>
      <w:pPr>
        <w:spacing w:before="160" w:after="200" w:line="276" w:lineRule="auto"/>
      </w:pPr>
      <w:r>
        <w:rPr>
          <w:rFonts w:ascii="Calibri" w:hAnsi="Calibri"/>
          <w:b/>
          <w:i w:val="0"/>
          <w:sz w:val="22"/>
        </w:rPr>
        <w:t>Why is this approach cryptographically sound?</w:t>
      </w:r>
    </w:p>
    <w:p>
      <w:pPr>
        <w:pStyle w:val="ListBullet"/>
        <w:spacing w:after="80" w:line="276" w:lineRule="auto"/>
      </w:pPr>
      <w:r>
        <w:rPr>
          <w:rFonts w:ascii="Calibri" w:hAnsi="Calibri"/>
          <w:b/>
          <w:i w:val="0"/>
          <w:sz w:val="22"/>
        </w:rPr>
        <w:t xml:space="preserve">Deterministic &amp; Stateless: </w:t>
      </w:r>
      <w:r>
        <w:rPr>
          <w:rFonts w:ascii="Calibri" w:hAnsi="Calibri"/>
          <w:b w:val="0"/>
          <w:i w:val="0"/>
          <w:sz w:val="22"/>
        </w:rPr>
        <w:t>Signing the exact same message with the private key produces the exact same signature every time. This means no keys are ever saved to disk or transmitted over the wire.</w:t>
      </w:r>
    </w:p>
    <w:p>
      <w:pPr>
        <w:pStyle w:val="ListBullet"/>
        <w:spacing w:after="80" w:line="276" w:lineRule="auto"/>
      </w:pPr>
      <w:r>
        <w:rPr>
          <w:rFonts w:ascii="Calibri" w:hAnsi="Calibri"/>
          <w:b/>
          <w:i w:val="0"/>
          <w:sz w:val="22"/>
        </w:rPr>
        <w:t xml:space="preserve">Sole Control: </w:t>
      </w:r>
      <w:r>
        <w:rPr>
          <w:rFonts w:ascii="Calibri" w:hAnsi="Calibri"/>
          <w:b w:val="0"/>
          <w:i w:val="0"/>
          <w:sz w:val="22"/>
        </w:rPr>
        <w:t>Only the holder of the wallet's private key can produce the required signature, guaranteeing that only the wallet owner can generate the matching AES key.</w:t>
      </w:r>
    </w:p>
    <w:p>
      <w:pPr>
        <w:pStyle w:val="ListBullet"/>
        <w:spacing w:after="80" w:line="276" w:lineRule="auto"/>
      </w:pPr>
      <w:r>
        <w:rPr>
          <w:rFonts w:ascii="Calibri" w:hAnsi="Calibri"/>
          <w:b/>
          <w:i w:val="0"/>
          <w:sz w:val="22"/>
        </w:rPr>
        <w:t xml:space="preserve">No External Node Dependencies: </w:t>
      </w:r>
      <w:r>
        <w:rPr>
          <w:rFonts w:ascii="Calibri" w:hAnsi="Calibri"/>
          <w:b w:val="0"/>
          <w:i w:val="0"/>
          <w:sz w:val="22"/>
        </w:rPr>
        <w:t>Unlike threshold networks (e.g. Lit Protocol), this approach runs 100% locally inside the browser with zero network latency and no external server trust requirements.</w:t>
      </w:r>
    </w:p>
    <w:p>
      <w:pPr>
        <w:spacing w:after="240"/>
      </w:pPr>
    </w:p>
    <w:p>
      <w:pPr>
        <w:spacing w:before="360" w:after="160"/>
      </w:pPr>
      <w:r>
        <w:rPr>
          <w:rFonts w:ascii="Arial" w:hAnsi="Arial"/>
          <w:b/>
          <w:i w:val="0"/>
          <w:color w:val="1F2937"/>
          <w:sz w:val="32"/>
        </w:rPr>
        <w:t>Deep Dive 2: Native Web Crypto API AES-256-GCM Encryption</w:t>
      </w:r>
    </w:p>
    <w:p>
      <w:pPr>
        <w:spacing w:after="200" w:line="276" w:lineRule="auto"/>
      </w:pPr>
      <w:r>
        <w:rPr>
          <w:rFonts w:ascii="Calibri" w:hAnsi="Calibri"/>
          <w:b w:val="0"/>
          <w:i w:val="0"/>
          <w:sz w:val="22"/>
        </w:rPr>
        <w:t>Galois/Counter Mode (GCM) provides both confidentiality and authenticated encryption (AEAD). Each encryption call generates a fresh 96-bit Initialization Vector (IV), ensuring identical plaintexts yield entirely distinct ciphertexts:</w:t>
      </w:r>
    </w:p>
    <w:tbl>
      <w:tblPr>
        <w:tblW w:type="auto" w:w="0"/>
        <w:tblLayout w:type="fixed"/>
        <w:tblLook w:firstColumn="1" w:firstRow="1" w:lastColumn="0" w:lastRow="0" w:noHBand="0" w:noVBand="1" w:val="04A0"/>
      </w:tblPr>
      <w:tblGrid>
        <w:gridCol w:w="8640"/>
      </w:tblGrid>
      <w:tr>
        <w:tc>
          <w:tcPr>
            <w:tcW w:type="dxa" w:w="9360"/>
            <w:shd w:fill="F4F4F6"/>
            <w:tcMar>
              <w:top w:w="144" w:type="dxa"/>
              <w:bottom w:w="144" w:type="dxa"/>
              <w:left w:w="216" w:type="dxa"/>
              <w:right w:w="216" w:type="dxa"/>
            </w:tcMar>
            <w:tcBorders>
              <w:top w:val="single" w:sz="12" w:space="0" w:color="E0E0E0"/>
              <w:bottom w:val="single" w:sz="12" w:space="0" w:color="E0E0E0"/>
              <w:left w:val="single" w:sz="12" w:space="0" w:color="E0E0E0"/>
              <w:right w:val="single" w:sz="12" w:space="0" w:color="E0E0E0"/>
            </w:tcBorders>
          </w:tcPr>
          <w:p>
            <w:pPr>
              <w:spacing w:before="0" w:after="0" w:line="276" w:lineRule="auto"/>
            </w:pPr>
            <w:r>
              <w:rPr>
                <w:rFonts w:ascii="Courier New" w:hAnsi="Courier New"/>
                <w:color w:val="24292E"/>
                <w:sz w:val="18"/>
              </w:rPr>
              <w:t>// client/lib/crypto.js - AES-256-GCM Encrypt &amp; Decrypt</w:t>
              <w:br/>
              <w:t>export const encryptString = async (cryptoKey, plaintext) =&gt; {</w:t>
              <w:br/>
              <w:t xml:space="preserve">  const iv = crypto.getRandomValues(new Uint8Array(12)); // 96-bit random IV</w:t>
              <w:br/>
              <w:t xml:space="preserve">  const encoded = new TextEncoder().encode(plaintext);</w:t>
              <w:br/>
              <w:br/>
              <w:t xml:space="preserve">  const cipherBuffer = await crypto.subtle.encrypt(</w:t>
              <w:br/>
              <w:t xml:space="preserve">    { name: "AES-GCM", iv },</w:t>
              <w:br/>
              <w:t xml:space="preserve">    cryptoKey,</w:t>
              <w:br/>
              <w:t xml:space="preserve">    encoded</w:t>
              <w:br/>
              <w:t xml:space="preserve">  );</w:t>
              <w:br/>
              <w:br/>
              <w:t xml:space="preserve">  return {</w:t>
              <w:br/>
              <w:t xml:space="preserve">    ciphertext: toBase64(cipherBuffer),</w:t>
              <w:br/>
              <w:t xml:space="preserve">    iv: toBase64(iv),</w:t>
              <w:br/>
              <w:t xml:space="preserve">    version: "aes-gcm-v1",</w:t>
              <w:br/>
              <w:t xml:space="preserve">  };</w:t>
              <w:br/>
              <w:t>};</w:t>
              <w:br/>
              <w:br/>
              <w:t>export const decryptString = async (cryptoKey, { ciphertext, iv }) =&gt; {</w:t>
              <w:br/>
              <w:t xml:space="preserve">  const decrypted = await crypto.subtle.decrypt(</w:t>
              <w:br/>
              <w:t xml:space="preserve">    { name: "AES-GCM", iv: fromBase64(iv) },</w:t>
              <w:br/>
              <w:t xml:space="preserve">    cryptoKey,</w:t>
              <w:br/>
              <w:t xml:space="preserve">    fromBase64(ciphertext)</w:t>
              <w:br/>
              <w:t xml:space="preserve">  );</w:t>
              <w:br/>
              <w:t xml:space="preserve">  return new TextDecoder().decode(decrypted);</w:t>
              <w:br/>
              <w:t>};</w:t>
            </w:r>
          </w:p>
        </w:tc>
      </w:tr>
    </w:tbl>
    <w:p>
      <w:pPr>
        <w:spacing w:before="160" w:after="200" w:line="276" w:lineRule="auto"/>
      </w:pPr>
      <w:r>
        <w:rPr>
          <w:rFonts w:ascii="Calibri" w:hAnsi="Calibri"/>
          <w:b w:val="0"/>
          <w:i w:val="0"/>
          <w:sz w:val="22"/>
        </w:rPr>
        <w:t>The generated JSON payload (containing `ciphertext`, `iv`, and `version`) is pinned directly to IPFS, ensuring that anyone inspecting the IPFS hash sees only high-entropy, authenticated ciphertext.</w:t>
      </w:r>
    </w:p>
    <w:p>
      <w:pPr>
        <w:spacing w:before="360" w:after="160"/>
      </w:pPr>
      <w:r>
        <w:rPr>
          <w:rFonts w:ascii="Arial" w:hAnsi="Arial"/>
          <w:b/>
          <w:i w:val="0"/>
          <w:color w:val="1F2937"/>
          <w:sz w:val="32"/>
        </w:rPr>
        <w:t>Deep Dive 3: The Smart Contract &amp; Subgraph Indexer</w:t>
      </w:r>
    </w:p>
    <w:p>
      <w:pPr>
        <w:spacing w:after="200" w:line="276" w:lineRule="auto"/>
      </w:pPr>
      <w:r>
        <w:rPr>
          <w:rFonts w:ascii="Calibri" w:hAnsi="Calibri"/>
          <w:b w:val="0"/>
          <w:i w:val="0"/>
          <w:sz w:val="22"/>
        </w:rPr>
        <w:t xml:space="preserve">The </w:t>
      </w:r>
      <w:r>
        <w:rPr>
          <w:rFonts w:ascii="Calibri" w:hAnsi="Calibri"/>
          <w:b/>
          <w:i w:val="0"/>
          <w:sz w:val="22"/>
        </w:rPr>
        <w:t>KeyManager.sol</w:t>
      </w:r>
      <w:r>
        <w:rPr>
          <w:rFonts w:ascii="Calibri" w:hAnsi="Calibri"/>
          <w:b w:val="0"/>
          <w:i w:val="0"/>
          <w:sz w:val="22"/>
        </w:rPr>
        <w:t xml:space="preserve"> contract deployed on BNB Chain Testnet acts as an immutable ledger mapping wallet addresses to array indices of IPFS CID hashes:</w:t>
      </w:r>
    </w:p>
    <w:tbl>
      <w:tblPr>
        <w:tblW w:type="auto" w:w="0"/>
        <w:tblLayout w:type="fixed"/>
        <w:tblLook w:firstColumn="1" w:firstRow="1" w:lastColumn="0" w:lastRow="0" w:noHBand="0" w:noVBand="1" w:val="04A0"/>
      </w:tblPr>
      <w:tblGrid>
        <w:gridCol w:w="8640"/>
      </w:tblGrid>
      <w:tr>
        <w:tc>
          <w:tcPr>
            <w:tcW w:type="dxa" w:w="9360"/>
            <w:shd w:fill="F4F4F6"/>
            <w:tcMar>
              <w:top w:w="144" w:type="dxa"/>
              <w:bottom w:w="144" w:type="dxa"/>
              <w:left w:w="216" w:type="dxa"/>
              <w:right w:w="216" w:type="dxa"/>
            </w:tcMar>
            <w:tcBorders>
              <w:top w:val="single" w:sz="12" w:space="0" w:color="E0E0E0"/>
              <w:bottom w:val="single" w:sz="12" w:space="0" w:color="E0E0E0"/>
              <w:left w:val="single" w:sz="12" w:space="0" w:color="E0E0E0"/>
              <w:right w:val="single" w:sz="12" w:space="0" w:color="E0E0E0"/>
            </w:tcBorders>
          </w:tcPr>
          <w:p>
            <w:pPr>
              <w:spacing w:before="0" w:after="0" w:line="276" w:lineRule="auto"/>
            </w:pPr>
            <w:r>
              <w:rPr>
                <w:rFonts w:ascii="Courier New" w:hAnsi="Courier New"/>
                <w:color w:val="24292E"/>
                <w:sz w:val="18"/>
              </w:rPr>
              <w:t>// SPDX-License-Identifier: MIT</w:t>
              <w:br/>
              <w:t>pragma solidity 0.8.20;</w:t>
              <w:br/>
              <w:br/>
              <w:t>contract KeyManager {</w:t>
              <w:br/>
              <w:t xml:space="preserve">    struct Key {</w:t>
              <w:br/>
              <w:t xml:space="preserve">        uint id;</w:t>
              <w:br/>
              <w:t xml:space="preserve">        string ipfsHash;</w:t>
              <w:br/>
              <w:t xml:space="preserve">        bool isDeleted;</w:t>
              <w:br/>
              <w:t xml:space="preserve">    }</w:t>
              <w:br/>
              <w:br/>
              <w:t xml:space="preserve">    event KeyAdded(uint id, string ipfsHash, address indexed owner);</w:t>
              <w:br/>
              <w:t xml:space="preserve">    event KeyUpdated(uint id, string ipfsHash, address indexed owner);</w:t>
              <w:br/>
              <w:t xml:space="preserve">    event KeyDeleted(uint id, address indexed owner);</w:t>
              <w:br/>
              <w:br/>
              <w:t xml:space="preserve">    mapping(address =&gt; Key[]) keys;</w:t>
              <w:br/>
              <w:br/>
              <w:t xml:space="preserve">    function addKey(string calldata _ipfsHash) public {</w:t>
              <w:br/>
              <w:t xml:space="preserve">        keys[msg.sender].push(Key(keys[msg.sender].length, _ipfsHash, false));</w:t>
              <w:br/>
              <w:t xml:space="preserve">        emit KeyAdded(keys[msg.sender].length - 1, _ipfsHash, msg.sender);</w:t>
              <w:br/>
              <w:t xml:space="preserve">    }</w:t>
              <w:br/>
              <w:br/>
              <w:t xml:space="preserve">    function updateKey(uint _id, string calldata _ipfsHash) public {</w:t>
              <w:br/>
              <w:t xml:space="preserve">        keys[msg.sender][_id].ipfsHash = _ipfsHash;</w:t>
              <w:br/>
              <w:t xml:space="preserve">        emit KeyUpdated(_id, _ipfsHash, msg.sender);</w:t>
              <w:br/>
              <w:t xml:space="preserve">    }</w:t>
              <w:br/>
              <w:br/>
              <w:t xml:space="preserve">    function softDeleteKey(uint _id) public {</w:t>
              <w:br/>
              <w:t xml:space="preserve">        keys[msg.sender][_id].isDeleted = true;</w:t>
              <w:br/>
              <w:t xml:space="preserve">        emit KeyDeleted(_id, msg.sender);</w:t>
              <w:br/>
              <w:t xml:space="preserve">    }</w:t>
              <w:br/>
              <w:t>}</w:t>
            </w:r>
          </w:p>
        </w:tc>
      </w:tr>
    </w:tbl>
    <w:p>
      <w:pPr>
        <w:spacing w:before="160" w:after="200" w:line="276" w:lineRule="auto"/>
      </w:pPr>
      <w:r>
        <w:rPr>
          <w:rFonts w:ascii="Calibri" w:hAnsi="Calibri"/>
          <w:b w:val="0"/>
          <w:i w:val="0"/>
          <w:sz w:val="22"/>
        </w:rPr>
        <w:t>To eliminate slow client-side IPFS gateway fetching, The Graph subgraph indexer listens for contract events, executes `ipfs.cat` during indexing, and caches the encrypted JSON payload for sub-second GraphQL retrieval.</w:t>
      </w:r>
    </w:p>
    <w:p>
      <w:pPr>
        <w:spacing w:before="360" w:after="160"/>
      </w:pPr>
      <w:r>
        <w:rPr>
          <w:rFonts w:ascii="Arial" w:hAnsi="Arial"/>
          <w:b/>
          <w:i w:val="0"/>
          <w:color w:val="1F2937"/>
          <w:sz w:val="32"/>
        </w:rPr>
        <w:t>Architectural Comparison: Centralized vs Lit Protocol vs AES-256-GCM</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shd w:fill="1F2937"/>
            <w:tcMar>
              <w:top w:w="100" w:type="dxa"/>
              <w:bottom w:w="100" w:type="dxa"/>
              <w:left w:w="100" w:type="dxa"/>
              <w:right w:w="100" w:type="dxa"/>
            </w:tcMar>
          </w:tcPr>
          <w:p>
            <w:r>
              <w:rPr>
                <w:rFonts w:ascii="Arial" w:hAnsi="Arial"/>
                <w:b/>
                <w:i w:val="0"/>
                <w:color w:val="FFFFFF"/>
                <w:sz w:val="19"/>
              </w:rPr>
              <w:t>Feature</w:t>
            </w:r>
          </w:p>
        </w:tc>
        <w:tc>
          <w:tcPr>
            <w:tcW w:type="dxa" w:w="2340"/>
            <w:shd w:fill="1F2937"/>
            <w:tcMar>
              <w:top w:w="100" w:type="dxa"/>
              <w:bottom w:w="100" w:type="dxa"/>
              <w:left w:w="100" w:type="dxa"/>
              <w:right w:w="100" w:type="dxa"/>
            </w:tcMar>
          </w:tcPr>
          <w:p>
            <w:r>
              <w:rPr>
                <w:rFonts w:ascii="Arial" w:hAnsi="Arial"/>
                <w:b/>
                <w:i w:val="0"/>
                <w:color w:val="FFFFFF"/>
                <w:sz w:val="19"/>
              </w:rPr>
              <w:t>Centralized (1Password/LastPass)</w:t>
            </w:r>
          </w:p>
        </w:tc>
        <w:tc>
          <w:tcPr>
            <w:tcW w:type="dxa" w:w="2340"/>
            <w:shd w:fill="1F2937"/>
            <w:tcMar>
              <w:top w:w="100" w:type="dxa"/>
              <w:bottom w:w="100" w:type="dxa"/>
              <w:left w:w="100" w:type="dxa"/>
              <w:right w:w="100" w:type="dxa"/>
            </w:tcMar>
          </w:tcPr>
          <w:p>
            <w:r>
              <w:rPr>
                <w:rFonts w:ascii="Arial" w:hAnsi="Arial"/>
                <w:b/>
                <w:i w:val="0"/>
                <w:color w:val="FFFFFF"/>
                <w:sz w:val="19"/>
              </w:rPr>
              <w:t>Lit Protocol (Threshold Crypto)</w:t>
            </w:r>
          </w:p>
        </w:tc>
        <w:tc>
          <w:tcPr>
            <w:tcW w:type="dxa" w:w="2340"/>
            <w:shd w:fill="1F2937"/>
            <w:tcMar>
              <w:top w:w="100" w:type="dxa"/>
              <w:bottom w:w="100" w:type="dxa"/>
              <w:left w:w="100" w:type="dxa"/>
              <w:right w:w="100" w:type="dxa"/>
            </w:tcMar>
          </w:tcPr>
          <w:p>
            <w:r>
              <w:rPr>
                <w:rFonts w:ascii="Arial" w:hAnsi="Arial"/>
                <w:b/>
                <w:i w:val="0"/>
                <w:color w:val="FFFFFF"/>
                <w:sz w:val="19"/>
              </w:rPr>
              <w:t>SecureVault (Native AES-256-GCM)</w:t>
            </w:r>
          </w:p>
        </w:tc>
      </w:tr>
      <w:tr>
        <w:tc>
          <w:tcPr>
            <w:tcW w:type="dxa" w:w="2340"/>
            <w:shd w:fill="F9FAFB"/>
            <w:tcMar>
              <w:top w:w="100" w:type="dxa"/>
              <w:bottom w:w="100" w:type="dxa"/>
              <w:left w:w="100" w:type="dxa"/>
              <w:right w:w="100" w:type="dxa"/>
            </w:tcMar>
            <w:tcBorders>
              <w:top w:val="single" w:sz="12" w:space="0" w:color="E5E7EB"/>
              <w:bottom w:val="single" w:sz="12" w:space="0" w:color="E5E7EB"/>
              <w:left w:val="single" w:sz="12" w:space="0" w:color="E5E7EB"/>
              <w:right w:val="single" w:sz="12" w:space="0" w:color="E5E7EB"/>
            </w:tcBorders>
          </w:tcPr>
          <w:p>
            <w:r>
              <w:rPr>
                <w:rFonts w:ascii="Calibri" w:hAnsi="Calibri"/>
                <w:b w:val="0"/>
                <w:i w:val="0"/>
                <w:sz w:val="19"/>
              </w:rPr>
              <w:t>Key Derivation</w:t>
            </w:r>
          </w:p>
        </w:tc>
        <w:tc>
          <w:tcPr>
            <w:tcW w:type="dxa" w:w="2340"/>
            <w:shd w:fill="F9FAFB"/>
            <w:tcMar>
              <w:top w:w="100" w:type="dxa"/>
              <w:bottom w:w="100" w:type="dxa"/>
              <w:left w:w="100" w:type="dxa"/>
              <w:right w:w="100" w:type="dxa"/>
            </w:tcMar>
            <w:tcBorders>
              <w:top w:val="single" w:sz="12" w:space="0" w:color="E5E7EB"/>
              <w:bottom w:val="single" w:sz="12" w:space="0" w:color="E5E7EB"/>
              <w:left w:val="single" w:sz="12" w:space="0" w:color="E5E7EB"/>
              <w:right w:val="single" w:sz="12" w:space="0" w:color="E5E7EB"/>
            </w:tcBorders>
          </w:tcPr>
          <w:p>
            <w:r>
              <w:rPr>
                <w:rFonts w:ascii="Calibri" w:hAnsi="Calibri"/>
                <w:b w:val="0"/>
                <w:i w:val="0"/>
                <w:sz w:val="19"/>
              </w:rPr>
              <w:t>Master Password + PBKDF2</w:t>
            </w:r>
          </w:p>
        </w:tc>
        <w:tc>
          <w:tcPr>
            <w:tcW w:type="dxa" w:w="2340"/>
            <w:shd w:fill="F9FAFB"/>
            <w:tcMar>
              <w:top w:w="100" w:type="dxa"/>
              <w:bottom w:w="100" w:type="dxa"/>
              <w:left w:w="100" w:type="dxa"/>
              <w:right w:w="100" w:type="dxa"/>
            </w:tcMar>
            <w:tcBorders>
              <w:top w:val="single" w:sz="12" w:space="0" w:color="E5E7EB"/>
              <w:bottom w:val="single" w:sz="12" w:space="0" w:color="E5E7EB"/>
              <w:left w:val="single" w:sz="12" w:space="0" w:color="E5E7EB"/>
              <w:right w:val="single" w:sz="12" w:space="0" w:color="E5E7EB"/>
            </w:tcBorders>
          </w:tcPr>
          <w:p>
            <w:r>
              <w:rPr>
                <w:rFonts w:ascii="Calibri" w:hAnsi="Calibri"/>
                <w:b w:val="0"/>
                <w:i w:val="0"/>
                <w:sz w:val="19"/>
              </w:rPr>
              <w:t>Threshold Secret Sharing (TSS) Node Network</w:t>
            </w:r>
          </w:p>
        </w:tc>
        <w:tc>
          <w:tcPr>
            <w:tcW w:type="dxa" w:w="2340"/>
            <w:shd w:fill="F9FAFB"/>
            <w:tcMar>
              <w:top w:w="100" w:type="dxa"/>
              <w:bottom w:w="100" w:type="dxa"/>
              <w:left w:w="100" w:type="dxa"/>
              <w:right w:w="100" w:type="dxa"/>
            </w:tcMar>
            <w:tcBorders>
              <w:top w:val="single" w:sz="12" w:space="0" w:color="E5E7EB"/>
              <w:bottom w:val="single" w:sz="12" w:space="0" w:color="E5E7EB"/>
              <w:left w:val="single" w:sz="12" w:space="0" w:color="E5E7EB"/>
              <w:right w:val="single" w:sz="12" w:space="0" w:color="E5E7EB"/>
            </w:tcBorders>
          </w:tcPr>
          <w:p>
            <w:r>
              <w:rPr>
                <w:rFonts w:ascii="Calibri" w:hAnsi="Calibri"/>
                <w:b w:val="0"/>
                <w:i w:val="0"/>
                <w:sz w:val="19"/>
              </w:rPr>
              <w:t>MetaMask Signature + SHA-256 (Deterministic)</w:t>
            </w:r>
          </w:p>
        </w:tc>
      </w:tr>
      <w:tr>
        <w:tc>
          <w:tcPr>
            <w:tcW w:type="dxa" w:w="2340"/>
            <w:shd w:fill="FFFFFF"/>
            <w:tcMar>
              <w:top w:w="100" w:type="dxa"/>
              <w:bottom w:w="100" w:type="dxa"/>
              <w:left w:w="100" w:type="dxa"/>
              <w:right w:w="100" w:type="dxa"/>
            </w:tcMar>
            <w:tcBorders>
              <w:top w:val="single" w:sz="12" w:space="0" w:color="E5E7EB"/>
              <w:bottom w:val="single" w:sz="12" w:space="0" w:color="E5E7EB"/>
              <w:left w:val="single" w:sz="12" w:space="0" w:color="E5E7EB"/>
              <w:right w:val="single" w:sz="12" w:space="0" w:color="E5E7EB"/>
            </w:tcBorders>
          </w:tcPr>
          <w:p>
            <w:r>
              <w:rPr>
                <w:rFonts w:ascii="Calibri" w:hAnsi="Calibri"/>
                <w:b w:val="0"/>
                <w:i w:val="0"/>
                <w:sz w:val="19"/>
              </w:rPr>
              <w:t>Encryption Location</w:t>
            </w:r>
          </w:p>
        </w:tc>
        <w:tc>
          <w:tcPr>
            <w:tcW w:type="dxa" w:w="2340"/>
            <w:shd w:fill="FFFFFF"/>
            <w:tcMar>
              <w:top w:w="100" w:type="dxa"/>
              <w:bottom w:w="100" w:type="dxa"/>
              <w:left w:w="100" w:type="dxa"/>
              <w:right w:w="100" w:type="dxa"/>
            </w:tcMar>
            <w:tcBorders>
              <w:top w:val="single" w:sz="12" w:space="0" w:color="E5E7EB"/>
              <w:bottom w:val="single" w:sz="12" w:space="0" w:color="E5E7EB"/>
              <w:left w:val="single" w:sz="12" w:space="0" w:color="E5E7EB"/>
              <w:right w:val="single" w:sz="12" w:space="0" w:color="E5E7EB"/>
            </w:tcBorders>
          </w:tcPr>
          <w:p>
            <w:r>
              <w:rPr>
                <w:rFonts w:ascii="Calibri" w:hAnsi="Calibri"/>
                <w:b w:val="0"/>
                <w:i w:val="0"/>
                <w:sz w:val="19"/>
              </w:rPr>
              <w:t>Client/Cloud Server</w:t>
            </w:r>
          </w:p>
        </w:tc>
        <w:tc>
          <w:tcPr>
            <w:tcW w:type="dxa" w:w="2340"/>
            <w:shd w:fill="FFFFFF"/>
            <w:tcMar>
              <w:top w:w="100" w:type="dxa"/>
              <w:bottom w:w="100" w:type="dxa"/>
              <w:left w:w="100" w:type="dxa"/>
              <w:right w:w="100" w:type="dxa"/>
            </w:tcMar>
            <w:tcBorders>
              <w:top w:val="single" w:sz="12" w:space="0" w:color="E5E7EB"/>
              <w:bottom w:val="single" w:sz="12" w:space="0" w:color="E5E7EB"/>
              <w:left w:val="single" w:sz="12" w:space="0" w:color="E5E7EB"/>
              <w:right w:val="single" w:sz="12" w:space="0" w:color="E5E7EB"/>
            </w:tcBorders>
          </w:tcPr>
          <w:p>
            <w:r>
              <w:rPr>
                <w:rFonts w:ascii="Calibri" w:hAnsi="Calibri"/>
                <w:b w:val="0"/>
                <w:i w:val="0"/>
                <w:sz w:val="19"/>
              </w:rPr>
              <w:t>Client + Lit Node Protocol</w:t>
            </w:r>
          </w:p>
        </w:tc>
        <w:tc>
          <w:tcPr>
            <w:tcW w:type="dxa" w:w="2340"/>
            <w:shd w:fill="FFFFFF"/>
            <w:tcMar>
              <w:top w:w="100" w:type="dxa"/>
              <w:bottom w:w="100" w:type="dxa"/>
              <w:left w:w="100" w:type="dxa"/>
              <w:right w:w="100" w:type="dxa"/>
            </w:tcMar>
            <w:tcBorders>
              <w:top w:val="single" w:sz="12" w:space="0" w:color="E5E7EB"/>
              <w:bottom w:val="single" w:sz="12" w:space="0" w:color="E5E7EB"/>
              <w:left w:val="single" w:sz="12" w:space="0" w:color="E5E7EB"/>
              <w:right w:val="single" w:sz="12" w:space="0" w:color="E5E7EB"/>
            </w:tcBorders>
          </w:tcPr>
          <w:p>
            <w:r>
              <w:rPr>
                <w:rFonts w:ascii="Calibri" w:hAnsi="Calibri"/>
                <w:b w:val="0"/>
                <w:i w:val="0"/>
                <w:sz w:val="19"/>
              </w:rPr>
              <w:t>Pure Browser Web Crypto API (`crypto.subtle`)</w:t>
            </w:r>
          </w:p>
        </w:tc>
      </w:tr>
      <w:tr>
        <w:tc>
          <w:tcPr>
            <w:tcW w:type="dxa" w:w="2340"/>
            <w:shd w:fill="F9FAFB"/>
            <w:tcMar>
              <w:top w:w="100" w:type="dxa"/>
              <w:bottom w:w="100" w:type="dxa"/>
              <w:left w:w="100" w:type="dxa"/>
              <w:right w:w="100" w:type="dxa"/>
            </w:tcMar>
            <w:tcBorders>
              <w:top w:val="single" w:sz="12" w:space="0" w:color="E5E7EB"/>
              <w:bottom w:val="single" w:sz="12" w:space="0" w:color="E5E7EB"/>
              <w:left w:val="single" w:sz="12" w:space="0" w:color="E5E7EB"/>
              <w:right w:val="single" w:sz="12" w:space="0" w:color="E5E7EB"/>
            </w:tcBorders>
          </w:tcPr>
          <w:p>
            <w:r>
              <w:rPr>
                <w:rFonts w:ascii="Calibri" w:hAnsi="Calibri"/>
                <w:b w:val="0"/>
                <w:i w:val="0"/>
                <w:sz w:val="19"/>
              </w:rPr>
              <w:t>Third-Party Trust</w:t>
            </w:r>
          </w:p>
        </w:tc>
        <w:tc>
          <w:tcPr>
            <w:tcW w:type="dxa" w:w="2340"/>
            <w:shd w:fill="F9FAFB"/>
            <w:tcMar>
              <w:top w:w="100" w:type="dxa"/>
              <w:bottom w:w="100" w:type="dxa"/>
              <w:left w:w="100" w:type="dxa"/>
              <w:right w:w="100" w:type="dxa"/>
            </w:tcMar>
            <w:tcBorders>
              <w:top w:val="single" w:sz="12" w:space="0" w:color="E5E7EB"/>
              <w:bottom w:val="single" w:sz="12" w:space="0" w:color="E5E7EB"/>
              <w:left w:val="single" w:sz="12" w:space="0" w:color="E5E7EB"/>
              <w:right w:val="single" w:sz="12" w:space="0" w:color="E5E7EB"/>
            </w:tcBorders>
          </w:tcPr>
          <w:p>
            <w:r>
              <w:rPr>
                <w:rFonts w:ascii="Calibri" w:hAnsi="Calibri"/>
                <w:b w:val="0"/>
                <w:i w:val="0"/>
                <w:sz w:val="19"/>
              </w:rPr>
              <w:t>High (Cloud DB &amp; Servers)</w:t>
            </w:r>
          </w:p>
        </w:tc>
        <w:tc>
          <w:tcPr>
            <w:tcW w:type="dxa" w:w="2340"/>
            <w:shd w:fill="F9FAFB"/>
            <w:tcMar>
              <w:top w:w="100" w:type="dxa"/>
              <w:bottom w:w="100" w:type="dxa"/>
              <w:left w:w="100" w:type="dxa"/>
              <w:right w:w="100" w:type="dxa"/>
            </w:tcMar>
            <w:tcBorders>
              <w:top w:val="single" w:sz="12" w:space="0" w:color="E5E7EB"/>
              <w:bottom w:val="single" w:sz="12" w:space="0" w:color="E5E7EB"/>
              <w:left w:val="single" w:sz="12" w:space="0" w:color="E5E7EB"/>
              <w:right w:val="single" w:sz="12" w:space="0" w:color="E5E7EB"/>
            </w:tcBorders>
          </w:tcPr>
          <w:p>
            <w:r>
              <w:rPr>
                <w:rFonts w:ascii="Calibri" w:hAnsi="Calibri"/>
                <w:b w:val="0"/>
                <w:i w:val="0"/>
                <w:sz w:val="19"/>
              </w:rPr>
              <w:t>Medium (Lit Decentralized Nodes)</w:t>
            </w:r>
          </w:p>
        </w:tc>
        <w:tc>
          <w:tcPr>
            <w:tcW w:type="dxa" w:w="2340"/>
            <w:shd w:fill="F9FAFB"/>
            <w:tcMar>
              <w:top w:w="100" w:type="dxa"/>
              <w:bottom w:w="100" w:type="dxa"/>
              <w:left w:w="100" w:type="dxa"/>
              <w:right w:w="100" w:type="dxa"/>
            </w:tcMar>
            <w:tcBorders>
              <w:top w:val="single" w:sz="12" w:space="0" w:color="E5E7EB"/>
              <w:bottom w:val="single" w:sz="12" w:space="0" w:color="E5E7EB"/>
              <w:left w:val="single" w:sz="12" w:space="0" w:color="E5E7EB"/>
              <w:right w:val="single" w:sz="12" w:space="0" w:color="E5E7EB"/>
            </w:tcBorders>
          </w:tcPr>
          <w:p>
            <w:r>
              <w:rPr>
                <w:rFonts w:ascii="Calibri" w:hAnsi="Calibri"/>
                <w:b w:val="0"/>
                <w:i w:val="0"/>
                <w:sz w:val="19"/>
              </w:rPr>
              <w:t>Zero (100% Client-Side Self-Custody)</w:t>
            </w:r>
          </w:p>
        </w:tc>
      </w:tr>
      <w:tr>
        <w:tc>
          <w:tcPr>
            <w:tcW w:type="dxa" w:w="2340"/>
            <w:shd w:fill="FFFFFF"/>
            <w:tcMar>
              <w:top w:w="100" w:type="dxa"/>
              <w:bottom w:w="100" w:type="dxa"/>
              <w:left w:w="100" w:type="dxa"/>
              <w:right w:w="100" w:type="dxa"/>
            </w:tcMar>
            <w:tcBorders>
              <w:top w:val="single" w:sz="12" w:space="0" w:color="E5E7EB"/>
              <w:bottom w:val="single" w:sz="12" w:space="0" w:color="E5E7EB"/>
              <w:left w:val="single" w:sz="12" w:space="0" w:color="E5E7EB"/>
              <w:right w:val="single" w:sz="12" w:space="0" w:color="E5E7EB"/>
            </w:tcBorders>
          </w:tcPr>
          <w:p>
            <w:r>
              <w:rPr>
                <w:rFonts w:ascii="Calibri" w:hAnsi="Calibri"/>
                <w:b w:val="0"/>
                <w:i w:val="0"/>
                <w:sz w:val="19"/>
              </w:rPr>
              <w:t>Latency &amp; Cost</w:t>
            </w:r>
          </w:p>
        </w:tc>
        <w:tc>
          <w:tcPr>
            <w:tcW w:type="dxa" w:w="2340"/>
            <w:shd w:fill="FFFFFF"/>
            <w:tcMar>
              <w:top w:w="100" w:type="dxa"/>
              <w:bottom w:w="100" w:type="dxa"/>
              <w:left w:w="100" w:type="dxa"/>
              <w:right w:w="100" w:type="dxa"/>
            </w:tcMar>
            <w:tcBorders>
              <w:top w:val="single" w:sz="12" w:space="0" w:color="E5E7EB"/>
              <w:bottom w:val="single" w:sz="12" w:space="0" w:color="E5E7EB"/>
              <w:left w:val="single" w:sz="12" w:space="0" w:color="E5E7EB"/>
              <w:right w:val="single" w:sz="12" w:space="0" w:color="E5E7EB"/>
            </w:tcBorders>
          </w:tcPr>
          <w:p>
            <w:r>
              <w:rPr>
                <w:rFonts w:ascii="Calibri" w:hAnsi="Calibri"/>
                <w:b w:val="0"/>
                <w:i w:val="0"/>
                <w:sz w:val="19"/>
              </w:rPr>
              <w:t>Low / Subscription Fee</w:t>
            </w:r>
          </w:p>
        </w:tc>
        <w:tc>
          <w:tcPr>
            <w:tcW w:type="dxa" w:w="2340"/>
            <w:shd w:fill="FFFFFF"/>
            <w:tcMar>
              <w:top w:w="100" w:type="dxa"/>
              <w:bottom w:w="100" w:type="dxa"/>
              <w:left w:w="100" w:type="dxa"/>
              <w:right w:w="100" w:type="dxa"/>
            </w:tcMar>
            <w:tcBorders>
              <w:top w:val="single" w:sz="12" w:space="0" w:color="E5E7EB"/>
              <w:bottom w:val="single" w:sz="12" w:space="0" w:color="E5E7EB"/>
              <w:left w:val="single" w:sz="12" w:space="0" w:color="E5E7EB"/>
              <w:right w:val="single" w:sz="12" w:space="0" w:color="E5E7EB"/>
            </w:tcBorders>
          </w:tcPr>
          <w:p>
            <w:r>
              <w:rPr>
                <w:rFonts w:ascii="Calibri" w:hAnsi="Calibri"/>
                <w:b w:val="0"/>
                <w:i w:val="0"/>
                <w:sz w:val="19"/>
              </w:rPr>
              <w:t>Medium / Node Verification Network</w:t>
            </w:r>
          </w:p>
        </w:tc>
        <w:tc>
          <w:tcPr>
            <w:tcW w:type="dxa" w:w="2340"/>
            <w:shd w:fill="FFFFFF"/>
            <w:tcMar>
              <w:top w:w="100" w:type="dxa"/>
              <w:bottom w:w="100" w:type="dxa"/>
              <w:left w:w="100" w:type="dxa"/>
              <w:right w:w="100" w:type="dxa"/>
            </w:tcMar>
            <w:tcBorders>
              <w:top w:val="single" w:sz="12" w:space="0" w:color="E5E7EB"/>
              <w:bottom w:val="single" w:sz="12" w:space="0" w:color="E5E7EB"/>
              <w:left w:val="single" w:sz="12" w:space="0" w:color="E5E7EB"/>
              <w:right w:val="single" w:sz="12" w:space="0" w:color="E5E7EB"/>
            </w:tcBorders>
          </w:tcPr>
          <w:p>
            <w:r>
              <w:rPr>
                <w:rFonts w:ascii="Calibri" w:hAnsi="Calibri"/>
                <w:b w:val="0"/>
                <w:i w:val="0"/>
                <w:sz w:val="19"/>
              </w:rPr>
              <w:t>Sub-second / Low Gas on BNB Chain</w:t>
            </w:r>
          </w:p>
        </w:tc>
      </w:tr>
    </w:tbl>
    <w:p>
      <w:pPr>
        <w:spacing w:after="240"/>
      </w:pPr>
    </w:p>
    <w:p>
      <w:pPr>
        <w:spacing w:before="360" w:after="160"/>
      </w:pPr>
      <w:r>
        <w:rPr>
          <w:rFonts w:ascii="Arial" w:hAnsi="Arial"/>
          <w:b/>
          <w:i w:val="0"/>
          <w:color w:val="1F2937"/>
          <w:sz w:val="32"/>
        </w:rPr>
        <w:t>User Interface &amp; Visual Walkthrough</w:t>
      </w:r>
    </w:p>
    <w:p>
      <w:pPr>
        <w:spacing w:before="200" w:after="80"/>
      </w:pPr>
      <w:r>
        <w:rPr>
          <w:rFonts w:ascii="Arial" w:hAnsi="Arial"/>
          <w:b/>
          <w:i w:val="0"/>
          <w:color w:val="374151"/>
          <w:sz w:val="24"/>
        </w:rPr>
        <w:t>1. Dashboard &amp; Web3 Wallet Connection</w:t>
      </w:r>
    </w:p>
    <w:p>
      <w:pPr>
        <w:jc w:val="center"/>
      </w:pPr>
      <w:r>
        <w:drawing>
          <wp:inline xmlns:a="http://schemas.openxmlformats.org/drawingml/2006/main" xmlns:pic="http://schemas.openxmlformats.org/drawingml/2006/picture">
            <wp:extent cx="4389120" cy="2827434"/>
            <wp:docPr id="2" name="Picture 2"/>
            <wp:cNvGraphicFramePr>
              <a:graphicFrameLocks noChangeAspect="1"/>
            </wp:cNvGraphicFramePr>
            <a:graphic>
              <a:graphicData uri="http://schemas.openxmlformats.org/drawingml/2006/picture">
                <pic:pic>
                  <pic:nvPicPr>
                    <pic:cNvPr id="0" name="home-screenshot.png.png"/>
                    <pic:cNvPicPr/>
                  </pic:nvPicPr>
                  <pic:blipFill>
                    <a:blip r:embed="rId10"/>
                    <a:stretch>
                      <a:fillRect/>
                    </a:stretch>
                  </pic:blipFill>
                  <pic:spPr>
                    <a:xfrm>
                      <a:off x="0" y="0"/>
                      <a:ext cx="4389120" cy="2827434"/>
                    </a:xfrm>
                    <a:prstGeom prst="rect"/>
                  </pic:spPr>
                </pic:pic>
              </a:graphicData>
            </a:graphic>
          </wp:inline>
        </w:drawing>
      </w:r>
    </w:p>
    <w:p>
      <w:pPr>
        <w:spacing w:after="200"/>
        <w:jc w:val="center"/>
      </w:pPr>
      <w:r>
        <w:rPr>
          <w:rFonts w:ascii="Calibri" w:hAnsi="Calibri"/>
          <w:b w:val="0"/>
          <w:i/>
          <w:color w:val="6B7280"/>
          <w:sz w:val="18"/>
        </w:rPr>
        <w:t>Figure 2: SecureVault Web3 Dashboard requesting wallet connection.</w:t>
      </w:r>
    </w:p>
    <w:p>
      <w:pPr>
        <w:spacing w:before="200" w:after="80"/>
      </w:pPr>
      <w:r>
        <w:rPr>
          <w:rFonts w:ascii="Arial" w:hAnsi="Arial"/>
          <w:b/>
          <w:i w:val="0"/>
          <w:color w:val="374151"/>
          <w:sz w:val="24"/>
        </w:rPr>
        <w:t>2. Password Encryption &amp; Generation</w:t>
      </w:r>
    </w:p>
    <w:p>
      <w:pPr>
        <w:jc w:val="center"/>
      </w:pPr>
      <w:r>
        <w:drawing>
          <wp:inline xmlns:a="http://schemas.openxmlformats.org/drawingml/2006/main" xmlns:pic="http://schemas.openxmlformats.org/drawingml/2006/picture">
            <wp:extent cx="4389120" cy="2306862"/>
            <wp:docPr id="3" name="Picture 3"/>
            <wp:cNvGraphicFramePr>
              <a:graphicFrameLocks noChangeAspect="1"/>
            </wp:cNvGraphicFramePr>
            <a:graphic>
              <a:graphicData uri="http://schemas.openxmlformats.org/drawingml/2006/picture">
                <pic:pic>
                  <pic:nvPicPr>
                    <pic:cNvPr id="0" name="save_success-screenshot.png.png"/>
                    <pic:cNvPicPr/>
                  </pic:nvPicPr>
                  <pic:blipFill>
                    <a:blip r:embed="rId11"/>
                    <a:stretch>
                      <a:fillRect/>
                    </a:stretch>
                  </pic:blipFill>
                  <pic:spPr>
                    <a:xfrm>
                      <a:off x="0" y="0"/>
                      <a:ext cx="4389120" cy="2306862"/>
                    </a:xfrm>
                    <a:prstGeom prst="rect"/>
                  </pic:spPr>
                </pic:pic>
              </a:graphicData>
            </a:graphic>
          </wp:inline>
        </w:drawing>
      </w:r>
    </w:p>
    <w:p>
      <w:pPr>
        <w:spacing w:after="200"/>
        <w:jc w:val="center"/>
      </w:pPr>
      <w:r>
        <w:rPr>
          <w:rFonts w:ascii="Calibri" w:hAnsi="Calibri"/>
          <w:b w:val="0"/>
          <w:i/>
          <w:color w:val="6B7280"/>
          <w:sz w:val="18"/>
        </w:rPr>
        <w:t>Figure 3: Save Password dialog with automatic password generator.</w:t>
      </w:r>
    </w:p>
    <w:p>
      <w:pPr>
        <w:spacing w:before="200" w:after="80"/>
      </w:pPr>
      <w:r>
        <w:rPr>
          <w:rFonts w:ascii="Arial" w:hAnsi="Arial"/>
          <w:b/>
          <w:i w:val="0"/>
          <w:color w:val="374151"/>
          <w:sz w:val="24"/>
        </w:rPr>
        <w:t>3. Masked Credentials Grid &amp; Editing</w:t>
      </w:r>
    </w:p>
    <w:p>
      <w:pPr>
        <w:jc w:val="center"/>
      </w:pPr>
      <w:r>
        <w:drawing>
          <wp:inline xmlns:a="http://schemas.openxmlformats.org/drawingml/2006/main" xmlns:pic="http://schemas.openxmlformats.org/drawingml/2006/picture">
            <wp:extent cx="4389120" cy="2449101"/>
            <wp:docPr id="4" name="Picture 4"/>
            <wp:cNvGraphicFramePr>
              <a:graphicFrameLocks noChangeAspect="1"/>
            </wp:cNvGraphicFramePr>
            <a:graphic>
              <a:graphicData uri="http://schemas.openxmlformats.org/drawingml/2006/picture">
                <pic:pic>
                  <pic:nvPicPr>
                    <pic:cNvPr id="0" name="edit-password.png.png"/>
                    <pic:cNvPicPr/>
                  </pic:nvPicPr>
                  <pic:blipFill>
                    <a:blip r:embed="rId12"/>
                    <a:stretch>
                      <a:fillRect/>
                    </a:stretch>
                  </pic:blipFill>
                  <pic:spPr>
                    <a:xfrm>
                      <a:off x="0" y="0"/>
                      <a:ext cx="4389120" cy="2449101"/>
                    </a:xfrm>
                    <a:prstGeom prst="rect"/>
                  </pic:spPr>
                </pic:pic>
              </a:graphicData>
            </a:graphic>
          </wp:inline>
        </w:drawing>
      </w:r>
    </w:p>
    <w:p>
      <w:pPr>
        <w:spacing w:after="200"/>
        <w:jc w:val="center"/>
      </w:pPr>
      <w:r>
        <w:rPr>
          <w:rFonts w:ascii="Calibri" w:hAnsi="Calibri"/>
          <w:b w:val="0"/>
          <w:i/>
          <w:color w:val="6B7280"/>
          <w:sz w:val="18"/>
        </w:rPr>
        <w:t>Figure 4: Masked credentials table with quick clipboard copy and editing.</w:t>
      </w:r>
    </w:p>
    <w:p>
      <w:pPr>
        <w:spacing w:before="200" w:after="80"/>
      </w:pPr>
      <w:r>
        <w:rPr>
          <w:rFonts w:ascii="Arial" w:hAnsi="Arial"/>
          <w:b/>
          <w:i w:val="0"/>
          <w:color w:val="374151"/>
          <w:sz w:val="24"/>
        </w:rPr>
        <w:t>4. On-Chain Smart Contract Updates</w:t>
      </w:r>
    </w:p>
    <w:p>
      <w:pPr>
        <w:jc w:val="center"/>
      </w:pPr>
      <w:r>
        <w:drawing>
          <wp:inline xmlns:a="http://schemas.openxmlformats.org/drawingml/2006/main" xmlns:pic="http://schemas.openxmlformats.org/drawingml/2006/picture">
            <wp:extent cx="4389120" cy="1882047"/>
            <wp:docPr id="5" name="Picture 5"/>
            <wp:cNvGraphicFramePr>
              <a:graphicFrameLocks noChangeAspect="1"/>
            </wp:cNvGraphicFramePr>
            <a:graphic>
              <a:graphicData uri="http://schemas.openxmlformats.org/drawingml/2006/picture">
                <pic:pic>
                  <pic:nvPicPr>
                    <pic:cNvPr id="0" name="update_tx-screenshot.png.png"/>
                    <pic:cNvPicPr/>
                  </pic:nvPicPr>
                  <pic:blipFill>
                    <a:blip r:embed="rId13"/>
                    <a:stretch>
                      <a:fillRect/>
                    </a:stretch>
                  </pic:blipFill>
                  <pic:spPr>
                    <a:xfrm>
                      <a:off x="0" y="0"/>
                      <a:ext cx="4389120" cy="1882047"/>
                    </a:xfrm>
                    <a:prstGeom prst="rect"/>
                  </pic:spPr>
                </pic:pic>
              </a:graphicData>
            </a:graphic>
          </wp:inline>
        </w:drawing>
      </w:r>
    </w:p>
    <w:p>
      <w:pPr>
        <w:spacing w:after="200"/>
        <w:jc w:val="center"/>
      </w:pPr>
      <w:r>
        <w:rPr>
          <w:rFonts w:ascii="Calibri" w:hAnsi="Calibri"/>
          <w:b w:val="0"/>
          <w:i/>
          <w:color w:val="6B7280"/>
          <w:sz w:val="18"/>
        </w:rPr>
        <w:t>Figure 5: MetaMask transaction confirmation for on-chain registry updates.</w:t>
      </w:r>
    </w:p>
    <w:p>
      <w:pPr>
        <w:spacing w:before="360" w:after="160"/>
      </w:pPr>
      <w:r>
        <w:rPr>
          <w:rFonts w:ascii="Arial" w:hAnsi="Arial"/>
          <w:b/>
          <w:i w:val="0"/>
          <w:color w:val="1F2937"/>
          <w:sz w:val="32"/>
        </w:rPr>
        <w:t>Conclusion &amp; The Future of Web3 Credentials</w:t>
      </w:r>
    </w:p>
    <w:p>
      <w:pPr>
        <w:spacing w:after="200" w:line="276" w:lineRule="auto"/>
      </w:pPr>
      <w:r>
        <w:rPr>
          <w:rFonts w:ascii="Calibri" w:hAnsi="Calibri"/>
          <w:b w:val="0"/>
          <w:i w:val="0"/>
          <w:sz w:val="22"/>
        </w:rPr>
        <w:t>By combining browser-native AES-256-GCM encryption with deterministic wallet key derivation, IPFS storage, BNB Chain registry contracts, and GraphQL subgraph indexing, SecureVault proves that true cryptographic self-custody is not only possible—it is seamless and highly performant.</w:t>
      </w:r>
    </w:p>
    <w:p>
      <w:pPr>
        <w:spacing w:after="200" w:line="276" w:lineRule="auto"/>
      </w:pPr>
      <w:r>
        <w:rPr>
          <w:rFonts w:ascii="Calibri" w:hAnsi="Calibri"/>
          <w:b w:val="0"/>
          <w:i w:val="0"/>
          <w:sz w:val="22"/>
        </w:rPr>
        <w:t>Users no longer need to rely on vulnerable centralized databases or external key-splitting servers. With SecureVault, your wallet is your master key, the blockchain is your registry, and your passwords belong solely to you.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