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Borders>
          <w:top w:val="single" w:sz="2" w:color="070707"/>
          <w:left w:val="single" w:sz="2" w:color="070707"/>
          <w:bottom w:val="single" w:sz="2" w:color="070707"/>
          <w:right w:val="single" w:sz="2" w:color="070707"/>
          <w:insideH w:val="nil"/>
          <w:insideV w:val="nil"/>
        </w:tblBorders>
        <w:tblCellMar>
          <w:top w:w="90" w:type="dxa"/>
          <w:left w:w="140" w:type="dxa"/>
          <w:bottom w:w="90" w:type="dxa"/>
          <w:right w:w="140" w:type="dxa"/>
        </w:tblCellMar>
        <w:tblLayout w:type="fixed"/>
      </w:tblPr>
      <w:tblGrid>
        <w:gridCol w:w="6768"/>
        <w:gridCol w:w="4032"/>
      </w:tblGrid>
      <w:tr>
        <w:tc>
          <w:tcPr>
            <w:tcW w:type="dxa" w:w="6768"/>
            <w:shd w:val="clear" w:color="auto" w:fill="070707"/>
          </w:tcPr>
          <w:p>
            <w:r>
              <w:rPr>
                <w:rFonts w:ascii="Cormorant Garamond" w:hAnsi="Cormorant Garamond" w:eastAsia="Cormorant Garamond"/>
                <w:b/>
                <w:i w:val="0"/>
                <w:color w:val="C9A646"/>
                <w:sz w:val="20"/>
              </w:rPr>
              <w:t>NEXORA</w:t>
            </w:r>
            <w:r>
              <w:rPr>
                <w:rFonts w:ascii="DM Sans" w:hAnsi="DM Sans" w:eastAsia="DM Sans"/>
                <w:b/>
                <w:i w:val="0"/>
                <w:color w:val="F4F0E4"/>
                <w:sz w:val="15"/>
              </w:rPr>
              <w:t xml:space="preserve">   COMMERCIAL FUNDING OS</w:t>
            </w:r>
          </w:p>
          <w:p>
            <w:r>
              <w:rPr>
                <w:rFonts w:ascii="Cormorant Garamond" w:hAnsi="Cormorant Garamond" w:eastAsia="Cormorant Garamond"/>
                <w:b/>
                <w:i w:val="0"/>
                <w:color w:val="F4F0E4"/>
                <w:sz w:val="38"/>
              </w:rPr>
              <w:t>Pricing &amp; ROI Value Justification</w:t>
            </w:r>
          </w:p>
          <w:p>
            <w:r>
              <w:rPr>
                <w:rFonts w:ascii="DM Sans" w:hAnsi="DM Sans" w:eastAsia="DM Sans"/>
                <w:b w:val="0"/>
                <w:i/>
                <w:color w:val="D8D0BC"/>
                <w:sz w:val="16"/>
              </w:rPr>
              <w:t>For the independent, solo operator commercial funding broker. Florida first.</w:t>
            </w:r>
          </w:p>
        </w:tc>
        <w:tc>
          <w:tcPr>
            <w:tcW w:type="dxa" w:w="4032"/>
            <w:shd w:val="clear" w:color="auto" w:fill="070707"/>
          </w:tcPr>
          <w:p>
            <w:pPr>
              <w:jc w:val="right"/>
            </w:pPr>
            <w:r>
              <w:rPr>
                <w:rFonts w:ascii="DM Sans" w:hAnsi="DM Sans" w:eastAsia="DM Sans"/>
                <w:b/>
                <w:i w:val="0"/>
                <w:color w:val="C9A646"/>
                <w:sz w:val="16"/>
              </w:rPr>
              <w:t>One time setup fee. You own the system.</w:t>
            </w:r>
          </w:p>
          <w:p>
            <w:pPr>
              <w:jc w:val="right"/>
            </w:pPr>
            <w:r>
              <w:rPr>
                <w:rFonts w:ascii="DM Sans" w:hAnsi="DM Sans" w:eastAsia="DM Sans"/>
                <w:b w:val="0"/>
                <w:i w:val="0"/>
                <w:color w:val="F4F0E4"/>
                <w:sz w:val="15"/>
              </w:rPr>
              <w:t>Luxury Broker Website</w:t>
            </w:r>
          </w:p>
          <w:p>
            <w:pPr>
              <w:jc w:val="right"/>
            </w:pPr>
            <w:r>
              <w:rPr>
                <w:rFonts w:ascii="DM Sans" w:hAnsi="DM Sans" w:eastAsia="DM Sans"/>
                <w:b w:val="0"/>
                <w:i w:val="0"/>
                <w:color w:val="F4F0E4"/>
                <w:sz w:val="15"/>
              </w:rPr>
              <w:t>Florida Business Lead Finder</w:t>
            </w:r>
          </w:p>
          <w:p>
            <w:pPr>
              <w:jc w:val="right"/>
            </w:pPr>
            <w:r>
              <w:rPr>
                <w:rFonts w:ascii="DM Sans" w:hAnsi="DM Sans" w:eastAsia="DM Sans"/>
                <w:b w:val="0"/>
                <w:i w:val="0"/>
                <w:color w:val="F4F0E4"/>
                <w:sz w:val="15"/>
              </w:rPr>
              <w:t>AI Lead Scorer</w:t>
            </w:r>
          </w:p>
          <w:p>
            <w:pPr>
              <w:jc w:val="right"/>
            </w:pPr>
            <w:r>
              <w:rPr>
                <w:rFonts w:ascii="DM Sans" w:hAnsi="DM Sans" w:eastAsia="DM Sans"/>
                <w:b w:val="0"/>
                <w:i w:val="0"/>
                <w:color w:val="F4F0E4"/>
                <w:sz w:val="15"/>
              </w:rPr>
              <w:t>One Click Outreach CRM</w:t>
            </w:r>
          </w:p>
          <w:p>
            <w:pPr>
              <w:jc w:val="right"/>
            </w:pPr>
            <w:r>
              <w:rPr>
                <w:rFonts w:ascii="DM Sans" w:hAnsi="DM Sans" w:eastAsia="DM Sans"/>
                <w:b w:val="0"/>
                <w:i/>
                <w:color w:val="BFB7A3"/>
                <w:sz w:val="13"/>
              </w:rPr>
              <w:t>Version 2, after legal review. Prices in USD. Sources checked Oct 26, 2026.</w:t>
            </w:r>
          </w:p>
        </w:tc>
      </w:tr>
    </w:tbl>
    <w:p>
      <w:pPr>
        <w:spacing w:before="70" w:after="30"/>
        <w:pBdr>
          <w:bottom w:val="single" w:sz="6" w:color="C9A646" w:space="1"/>
        </w:pBdr>
      </w:pPr>
      <w:r>
        <w:rPr>
          <w:rFonts w:ascii="Cormorant Garamond" w:hAnsi="Cormorant Garamond" w:eastAsia="Cormorant Garamond"/>
          <w:b/>
          <w:i w:val="0"/>
          <w:color w:val="C9A646"/>
          <w:sz w:val="22"/>
        </w:rPr>
        <w:t xml:space="preserve">01  </w:t>
      </w:r>
      <w:r>
        <w:rPr>
          <w:rFonts w:ascii="Cormorant Garamond" w:hAnsi="Cormorant Garamond" w:eastAsia="Cormorant Garamond"/>
          <w:b/>
          <w:i w:val="0"/>
          <w:color w:val="070707"/>
          <w:sz w:val="19"/>
        </w:rPr>
        <w:t>THE PROBLEM: ONE BROKER, EVERY JOB</w:t>
      </w:r>
    </w:p>
    <w:p>
      <w:pPr>
        <w:spacing w:after="0" w:before="0"/>
      </w:pPr>
      <w:r>
        <w:rPr>
          <w:rFonts w:ascii="DM Sans" w:hAnsi="DM Sans" w:eastAsia="DM Sans"/>
          <w:b w:val="0"/>
          <w:i w:val="0"/>
          <w:color w:val="1A1A1A"/>
          <w:sz w:val="15"/>
        </w:rPr>
        <w:t xml:space="preserve">As a solo broker you are the marketer, the closer, the funder liaison and the back office. Every hour spent building call lists, copying data between tools or chasing records that were never a fit is an hour not spent on submissions and closings. Buying leads adds a cost that resets every month: published prices we checked run </w:t>
      </w:r>
      <w:r>
        <w:rPr>
          <w:rFonts w:ascii="DM Sans" w:hAnsi="DM Sans" w:eastAsia="DM Sans"/>
          <w:b/>
          <w:i w:val="0"/>
          <w:color w:val="1A1A1A"/>
          <w:sz w:val="15"/>
        </w:rPr>
        <w:t>$15 to $60 per real time MCA lead and $0.20 to $1.00 per aged record</w:t>
      </w:r>
      <w:r>
        <w:rPr>
          <w:rFonts w:ascii="DM Sans" w:hAnsi="DM Sans" w:eastAsia="DM Sans"/>
          <w:b w:val="0"/>
          <w:i w:val="0"/>
          <w:color w:val="1A1A1A"/>
          <w:sz w:val="15"/>
        </w:rPr>
        <w:t>, paid upfront plus a 4% processing fee [S14]. Renting a CRM adds a seat fee that never ends, and the system is never yours.</w:t>
      </w:r>
    </w:p>
    <w:p>
      <w:pPr>
        <w:spacing w:before="70" w:after="30"/>
        <w:pBdr>
          <w:bottom w:val="single" w:sz="6" w:color="C9A646" w:space="1"/>
        </w:pBdr>
      </w:pPr>
      <w:r>
        <w:rPr>
          <w:rFonts w:ascii="Cormorant Garamond" w:hAnsi="Cormorant Garamond" w:eastAsia="Cormorant Garamond"/>
          <w:b/>
          <w:i w:val="0"/>
          <w:color w:val="C9A646"/>
          <w:sz w:val="22"/>
        </w:rPr>
        <w:t xml:space="preserve">02  </w:t>
      </w:r>
      <w:r>
        <w:rPr>
          <w:rFonts w:ascii="Cormorant Garamond" w:hAnsi="Cormorant Garamond" w:eastAsia="Cormorant Garamond"/>
          <w:b/>
          <w:i w:val="0"/>
          <w:color w:val="070707"/>
          <w:sz w:val="19"/>
        </w:rPr>
        <w:t>WHAT IS INCLUDED</w:t>
      </w:r>
    </w:p>
    <w:tbl>
      <w:tblPr>
        <w:tblW w:type="auto" w:w="0"/>
        <w:jc w:val="center"/>
        <w:tblLayout w:type="fixed"/>
        <w:tblLook w:firstColumn="1" w:firstRow="1" w:lastColumn="0" w:lastRow="0" w:noHBand="0" w:noVBand="1" w:val="04A0"/>
        <w:tblBorders>
          <w:top w:val="single" w:sz="4" w:color="D9D2BF"/>
          <w:left w:val="single" w:sz="4" w:color="D9D2BF"/>
          <w:bottom w:val="single" w:sz="4" w:color="D9D2BF"/>
          <w:right w:val="single" w:sz="4" w:color="D9D2BF"/>
          <w:insideH w:val="single" w:sz="4" w:color="D9D2BF"/>
          <w:insideV w:val="single" w:sz="4" w:color="D9D2BF"/>
        </w:tblBorders>
        <w:tblCellMar>
          <w:top w:w="16" w:type="dxa"/>
          <w:left w:w="70" w:type="dxa"/>
          <w:bottom w:w="16" w:type="dxa"/>
          <w:right w:w="70" w:type="dxa"/>
        </w:tblCellMar>
        <w:tblLayout w:type="fixed"/>
      </w:tblPr>
      <w:tblGrid>
        <w:gridCol w:w="2232"/>
        <w:gridCol w:w="8568"/>
      </w:tblGrid>
      <w:tr>
        <w:tc>
          <w:tcPr>
            <w:tcW w:type="dxa" w:w="2232"/>
            <w:shd w:val="clear" w:color="auto" w:fill="070707"/>
          </w:tcPr>
          <w:p>
            <w:r/>
            <w:r>
              <w:rPr>
                <w:rFonts w:ascii="DM Sans" w:hAnsi="DM Sans" w:eastAsia="DM Sans"/>
                <w:b/>
                <w:i w:val="0"/>
                <w:color w:val="F4F0E4"/>
                <w:sz w:val="15"/>
              </w:rPr>
              <w:t>Component</w:t>
            </w:r>
          </w:p>
        </w:tc>
        <w:tc>
          <w:tcPr>
            <w:tcW w:type="dxa" w:w="8568"/>
            <w:shd w:val="clear" w:color="auto" w:fill="070707"/>
          </w:tcPr>
          <w:p>
            <w:r/>
            <w:r>
              <w:rPr>
                <w:rFonts w:ascii="DM Sans" w:hAnsi="DM Sans" w:eastAsia="DM Sans"/>
                <w:b/>
                <w:i w:val="0"/>
                <w:color w:val="F4F0E4"/>
                <w:sz w:val="15"/>
              </w:rPr>
              <w:t>What it does for you</w:t>
            </w:r>
          </w:p>
        </w:tc>
      </w:tr>
      <w:tr>
        <w:tc>
          <w:tcPr>
            <w:tcW w:type="dxa" w:w="2232"/>
          </w:tcPr>
          <w:p>
            <w:r/>
            <w:r>
              <w:rPr>
                <w:rFonts w:ascii="DM Sans" w:hAnsi="DM Sans" w:eastAsia="DM Sans"/>
                <w:b/>
                <w:i w:val="0"/>
                <w:color w:val="1A1A1A"/>
                <w:sz w:val="15"/>
              </w:rPr>
              <w:t>Luxury Broker Website</w:t>
            </w:r>
          </w:p>
        </w:tc>
        <w:tc>
          <w:tcPr>
            <w:tcW w:type="dxa" w:w="8568"/>
          </w:tcPr>
          <w:p>
            <w:r/>
            <w:r>
              <w:rPr>
                <w:rFonts w:ascii="DM Sans" w:hAnsi="DM Sans" w:eastAsia="DM Sans"/>
                <w:b w:val="0"/>
                <w:i w:val="0"/>
                <w:color w:val="1A1A1A"/>
                <w:sz w:val="15"/>
              </w:rPr>
              <w:t>A custom, mobile first site with product pages for MCA, equipment, SBA and working capital, a secure application form that records consent with a timestamp, and your actual business address and phone shown, as Florida requires for broker advertising [S18].</w:t>
            </w:r>
          </w:p>
        </w:tc>
      </w:tr>
      <w:tr>
        <w:tc>
          <w:tcPr>
            <w:tcW w:type="dxa" w:w="2232"/>
            <w:shd w:val="clear" w:color="auto" w:fill="FAF7EE"/>
          </w:tcPr>
          <w:p>
            <w:r/>
            <w:r>
              <w:rPr>
                <w:rFonts w:ascii="DM Sans" w:hAnsi="DM Sans" w:eastAsia="DM Sans"/>
                <w:b/>
                <w:i w:val="0"/>
                <w:color w:val="1A1A1A"/>
                <w:sz w:val="15"/>
              </w:rPr>
              <w:t>Florida Business Lead Finder</w:t>
            </w:r>
            <w:r>
              <w:rPr>
                <w:rFonts w:ascii="DM Sans" w:hAnsi="DM Sans" w:eastAsia="DM Sans"/>
                <w:b/>
                <w:i w:val="0"/>
                <w:color w:val="C9A646"/>
                <w:sz w:val="15"/>
              </w:rPr>
              <w:t xml:space="preserve">  DESIGN PENDING CEO DECISION</w:t>
            </w:r>
          </w:p>
        </w:tc>
        <w:tc>
          <w:tcPr>
            <w:tcW w:type="dxa" w:w="8568"/>
            <w:shd w:val="clear" w:color="auto" w:fill="FAF7EE"/>
          </w:tcPr>
          <w:p>
            <w:r/>
            <w:r>
              <w:rPr>
                <w:rFonts w:ascii="DM Sans" w:hAnsi="DM Sans" w:eastAsia="DM Sans"/>
                <w:b w:val="0"/>
                <w:i w:val="0"/>
                <w:color w:val="1A1A1A"/>
                <w:sz w:val="15"/>
              </w:rPr>
              <w:t xml:space="preserve">Built on the official Google Places API (New), not scraping. Search Florida businesses by county, city and industry for research and map or detail display with Google attribution. The tool stores Google place IDs only (allowed indefinitely) and refreshes details on demand under Google's caching rules [S5, S6]. It does </w:t>
            </w:r>
            <w:r>
              <w:rPr>
                <w:rFonts w:ascii="DM Sans" w:hAnsi="DM Sans" w:eastAsia="DM Sans"/>
                <w:b/>
                <w:i w:val="0"/>
                <w:color w:val="1A1A1A"/>
                <w:sz w:val="15"/>
              </w:rPr>
              <w:t>not</w:t>
            </w:r>
            <w:r>
              <w:rPr>
                <w:rFonts w:ascii="DM Sans" w:hAnsi="DM Sans" w:eastAsia="DM Sans"/>
                <w:b w:val="0"/>
                <w:i w:val="0"/>
                <w:color w:val="1A1A1A"/>
                <w:sz w:val="15"/>
              </w:rPr>
              <w:t xml:space="preserve"> export Google business names or addresses into a permanent outreach list. Outreach targets should come from your own applicants, inbound leads, or other lawful sources; use live Place Details only as permitted by Google's Terms [S4]. </w:t>
            </w:r>
            <w:r>
              <w:rPr>
                <w:rFonts w:ascii="DM Sans" w:hAnsi="DM Sans" w:eastAsia="DM Sans"/>
                <w:b/>
                <w:i w:val="0"/>
                <w:color w:val="1A1A1A"/>
                <w:sz w:val="15"/>
              </w:rPr>
              <w:t xml:space="preserve">Google API costs billed to your account: </w:t>
            </w:r>
            <w:r>
              <w:rPr>
                <w:rFonts w:ascii="DM Sans" w:hAnsi="DM Sans" w:eastAsia="DM Sans"/>
                <w:b w:val="0"/>
                <w:i w:val="0"/>
                <w:color w:val="1A1A1A"/>
                <w:sz w:val="15"/>
              </w:rPr>
              <w:t>NEXORA does not charge a separate fee for Google Maps access. You must open and keep your own Google Cloud billing account, accept the Google Maps Platform Terms of Service, and pay Google's published usage charges.</w:t>
            </w:r>
          </w:p>
        </w:tc>
      </w:tr>
      <w:tr>
        <w:tc>
          <w:tcPr>
            <w:tcW w:type="dxa" w:w="2232"/>
          </w:tcPr>
          <w:p>
            <w:r/>
            <w:r>
              <w:rPr>
                <w:rFonts w:ascii="DM Sans" w:hAnsi="DM Sans" w:eastAsia="DM Sans"/>
                <w:b/>
                <w:i w:val="0"/>
                <w:color w:val="1A1A1A"/>
                <w:sz w:val="15"/>
              </w:rPr>
              <w:t>AI Lead Scorer</w:t>
            </w:r>
          </w:p>
        </w:tc>
        <w:tc>
          <w:tcPr>
            <w:tcW w:type="dxa" w:w="8568"/>
          </w:tcPr>
          <w:p>
            <w:r/>
            <w:r>
              <w:rPr>
                <w:rFonts w:ascii="DM Sans" w:hAnsi="DM Sans" w:eastAsia="DM Sans"/>
                <w:b w:val="0"/>
                <w:i w:val="0"/>
                <w:color w:val="1A1A1A"/>
                <w:sz w:val="15"/>
              </w:rPr>
              <w:t xml:space="preserve">MongoDB Atlas Vector Search with the Voyage AI </w:t>
            </w:r>
            <w:r>
              <w:rPr>
                <w:rFonts w:ascii="DM Sans" w:hAnsi="DM Sans" w:eastAsia="DM Sans"/>
                <w:b/>
                <w:i w:val="0"/>
                <w:color w:val="1A1A1A"/>
                <w:sz w:val="15"/>
              </w:rPr>
              <w:t>voyage-finance-2</w:t>
            </w:r>
            <w:r>
              <w:rPr>
                <w:rFonts w:ascii="DM Sans" w:hAnsi="DM Sans" w:eastAsia="DM Sans"/>
                <w:b w:val="0"/>
                <w:i w:val="0"/>
                <w:color w:val="1A1A1A"/>
                <w:sz w:val="15"/>
              </w:rPr>
              <w:t xml:space="preserve"> finance embedding model. Ranks your pipeline by similarity to deals you have funded before, using your own first party records (applications, intake notes, outcomes). It supports your judgment; it does not make credit decisions or predict approval. </w:t>
            </w:r>
            <w:r>
              <w:rPr>
                <w:rFonts w:ascii="DM Sans" w:hAnsi="DM Sans" w:eastAsia="DM Sans"/>
                <w:b/>
                <w:i w:val="0"/>
                <w:color w:val="1A1A1A"/>
                <w:sz w:val="15"/>
              </w:rPr>
              <w:t>Not a consumer credit score, not an ECOA or FCRA decision system, and not a prediction of funder approval. Do not use it as the sole basis for any credit decision.</w:t>
            </w:r>
          </w:p>
        </w:tc>
      </w:tr>
      <w:tr>
        <w:tc>
          <w:tcPr>
            <w:tcW w:type="dxa" w:w="2232"/>
            <w:shd w:val="clear" w:color="auto" w:fill="FAF7EE"/>
          </w:tcPr>
          <w:p>
            <w:r/>
            <w:r>
              <w:rPr>
                <w:rFonts w:ascii="DM Sans" w:hAnsi="DM Sans" w:eastAsia="DM Sans"/>
                <w:b/>
                <w:i w:val="0"/>
                <w:color w:val="1A1A1A"/>
                <w:sz w:val="15"/>
              </w:rPr>
              <w:t>One Click Outreach CRM</w:t>
            </w:r>
          </w:p>
        </w:tc>
        <w:tc>
          <w:tcPr>
            <w:tcW w:type="dxa" w:w="8568"/>
            <w:shd w:val="clear" w:color="auto" w:fill="FAF7EE"/>
          </w:tcPr>
          <w:p>
            <w:r/>
            <w:r>
              <w:rPr>
                <w:rFonts w:ascii="DM Sans" w:hAnsi="DM Sans" w:eastAsia="DM Sans"/>
                <w:b w:val="0"/>
                <w:i w:val="0"/>
                <w:color w:val="1A1A1A"/>
                <w:sz w:val="15"/>
              </w:rPr>
              <w:t>Pipeline from new lead to funded and renewal. One click, human sent email, call and text from your templates, with consent, opt out and do not contact flags checked before every send. Funder submissions and commissions tracked. No autodialer and no prerecorded calls.</w:t>
            </w:r>
          </w:p>
        </w:tc>
      </w:tr>
    </w:tbl>
    <w:p>
      <w:pPr>
        <w:spacing w:after="0" w:before="30"/>
      </w:pPr>
      <w:r>
        <w:rPr>
          <w:rFonts w:ascii="DM Sans" w:hAnsi="DM Sans" w:eastAsia="DM Sans"/>
          <w:b/>
          <w:i w:val="0"/>
          <w:color w:val="1A1A1A"/>
          <w:sz w:val="14"/>
        </w:rPr>
        <w:t xml:space="preserve">Ownership: </w:t>
      </w:r>
      <w:r>
        <w:rPr>
          <w:rFonts w:ascii="DM Sans" w:hAnsi="DM Sans" w:eastAsia="DM Sans"/>
          <w:b w:val="0"/>
          <w:i/>
          <w:color w:val="1A1A1A"/>
          <w:sz w:val="14"/>
        </w:rPr>
        <w:t>code and data live in accounts registered to you (hosting, database, Google Cloud, Voyage AI), so there is no NEXORA subscription to keep the system running. “You own” means cloud accounts and data registered to you, and the licence or assignment to custom code set out in the signed Statement of Work. It does not mean Google, Twilio, Voyage, or Vercel waive their own terms, or that NEXORA’s preexisting frameworks are work made for hire unless the SOW says so.</w:t>
      </w:r>
    </w:p>
    <w:p>
      <w:pPr>
        <w:spacing w:before="70" w:after="30"/>
        <w:pBdr>
          <w:bottom w:val="single" w:sz="6" w:color="C9A646" w:space="1"/>
        </w:pBdr>
      </w:pPr>
      <w:r>
        <w:rPr>
          <w:rFonts w:ascii="Cormorant Garamond" w:hAnsi="Cormorant Garamond" w:eastAsia="Cormorant Garamond"/>
          <w:b/>
          <w:i w:val="0"/>
          <w:color w:val="C9A646"/>
          <w:sz w:val="22"/>
        </w:rPr>
        <w:t xml:space="preserve">03  </w:t>
      </w:r>
      <w:r>
        <w:rPr>
          <w:rFonts w:ascii="Cormorant Garamond" w:hAnsi="Cormorant Garamond" w:eastAsia="Cormorant Garamond"/>
          <w:b/>
          <w:i w:val="0"/>
          <w:color w:val="070707"/>
          <w:sz w:val="19"/>
        </w:rPr>
        <w:t>PROPOSED SETUP TIERS  |  PROPOSED, PENDING CEO APPROVAL</w:t>
      </w:r>
    </w:p>
    <w:tbl>
      <w:tblPr>
        <w:tblW w:type="auto" w:w="0"/>
        <w:jc w:val="center"/>
        <w:tblLayout w:type="fixed"/>
        <w:tblLook w:firstColumn="1" w:firstRow="1" w:lastColumn="0" w:lastRow="0" w:noHBand="0" w:noVBand="1" w:val="04A0"/>
        <w:tblBorders>
          <w:top w:val="single" w:sz="4" w:color="D9D2BF"/>
          <w:left w:val="single" w:sz="4" w:color="D9D2BF"/>
          <w:bottom w:val="single" w:sz="4" w:color="D9D2BF"/>
          <w:right w:val="single" w:sz="4" w:color="D9D2BF"/>
          <w:insideH w:val="single" w:sz="4" w:color="D9D2BF"/>
          <w:insideV w:val="single" w:sz="4" w:color="D9D2BF"/>
        </w:tblBorders>
        <w:tblCellMar>
          <w:top w:w="16" w:type="dxa"/>
          <w:left w:w="70" w:type="dxa"/>
          <w:bottom w:w="16" w:type="dxa"/>
          <w:right w:w="70" w:type="dxa"/>
        </w:tblCellMar>
        <w:tblLayout w:type="fixed"/>
      </w:tblPr>
      <w:tblGrid>
        <w:gridCol w:w="1872"/>
        <w:gridCol w:w="2808"/>
        <w:gridCol w:w="3168"/>
        <w:gridCol w:w="2952"/>
      </w:tblGrid>
      <w:tr>
        <w:tc>
          <w:tcPr>
            <w:tcW w:type="dxa" w:w="1872"/>
            <w:shd w:val="clear" w:color="auto" w:fill="070707"/>
          </w:tcPr>
          <w:p>
            <w:r/>
            <w:r>
              <w:rPr>
                <w:rFonts w:ascii="DM Sans" w:hAnsi="DM Sans" w:eastAsia="DM Sans"/>
                <w:b/>
                <w:i w:val="0"/>
                <w:color w:val="F4F0E4"/>
                <w:sz w:val="15"/>
              </w:rPr>
            </w:r>
          </w:p>
        </w:tc>
        <w:tc>
          <w:tcPr>
            <w:tcW w:type="dxa" w:w="2808"/>
            <w:shd w:val="clear" w:color="auto" w:fill="070707"/>
          </w:tcPr>
          <w:p>
            <w:r/>
            <w:r>
              <w:rPr>
                <w:rFonts w:ascii="DM Sans" w:hAnsi="DM Sans" w:eastAsia="DM Sans"/>
                <w:b/>
                <w:i w:val="0"/>
                <w:color w:val="F4F0E4"/>
                <w:sz w:val="15"/>
              </w:rPr>
              <w:t>Launch</w:t>
            </w:r>
          </w:p>
        </w:tc>
        <w:tc>
          <w:tcPr>
            <w:tcW w:type="dxa" w:w="3168"/>
            <w:shd w:val="clear" w:color="auto" w:fill="070707"/>
          </w:tcPr>
          <w:p>
            <w:r/>
            <w:r>
              <w:rPr>
                <w:rFonts w:ascii="DM Sans" w:hAnsi="DM Sans" w:eastAsia="DM Sans"/>
                <w:b/>
                <w:i w:val="0"/>
                <w:color w:val="F4F0E4"/>
                <w:sz w:val="15"/>
              </w:rPr>
              <w:t>Pro  (recommended)</w:t>
            </w:r>
          </w:p>
        </w:tc>
        <w:tc>
          <w:tcPr>
            <w:tcW w:type="dxa" w:w="2952"/>
            <w:shd w:val="clear" w:color="auto" w:fill="070707"/>
          </w:tcPr>
          <w:p>
            <w:r/>
            <w:r>
              <w:rPr>
                <w:rFonts w:ascii="DM Sans" w:hAnsi="DM Sans" w:eastAsia="DM Sans"/>
                <w:b/>
                <w:i w:val="0"/>
                <w:color w:val="F4F0E4"/>
                <w:sz w:val="15"/>
              </w:rPr>
              <w:t>Elite</w:t>
            </w:r>
          </w:p>
        </w:tc>
      </w:tr>
      <w:tr>
        <w:tc>
          <w:tcPr>
            <w:tcW w:type="dxa" w:w="1872"/>
          </w:tcPr>
          <w:p>
            <w:r/>
            <w:r>
              <w:rPr>
                <w:rFonts w:ascii="DM Sans" w:hAnsi="DM Sans" w:eastAsia="DM Sans"/>
                <w:b/>
                <w:i w:val="0"/>
                <w:color w:val="1A1A1A"/>
                <w:sz w:val="15"/>
              </w:rPr>
              <w:t>One time setup fee</w:t>
            </w:r>
          </w:p>
        </w:tc>
        <w:tc>
          <w:tcPr>
            <w:tcW w:type="dxa" w:w="2808"/>
          </w:tcPr>
          <w:p>
            <w:r/>
            <w:r>
              <w:rPr>
                <w:rFonts w:ascii="DM Sans" w:hAnsi="DM Sans" w:eastAsia="DM Sans"/>
                <w:b/>
                <w:i w:val="0"/>
                <w:color w:val="C9A646"/>
                <w:sz w:val="15"/>
              </w:rPr>
              <w:t>$4,500</w:t>
            </w:r>
            <w:r>
              <w:rPr>
                <w:rFonts w:ascii="DM Sans" w:hAnsi="DM Sans" w:eastAsia="DM Sans"/>
                <w:b w:val="0"/>
                <w:i/>
                <w:color w:val="1A1A1A"/>
                <w:sz w:val="15"/>
              </w:rPr>
              <w:t xml:space="preserve">  PROPOSED</w:t>
            </w:r>
          </w:p>
        </w:tc>
        <w:tc>
          <w:tcPr>
            <w:tcW w:type="dxa" w:w="3168"/>
          </w:tcPr>
          <w:p>
            <w:r/>
            <w:r>
              <w:rPr>
                <w:rFonts w:ascii="DM Sans" w:hAnsi="DM Sans" w:eastAsia="DM Sans"/>
                <w:b/>
                <w:i w:val="0"/>
                <w:color w:val="C9A646"/>
                <w:sz w:val="15"/>
              </w:rPr>
              <w:t>$8,500</w:t>
            </w:r>
            <w:r>
              <w:rPr>
                <w:rFonts w:ascii="DM Sans" w:hAnsi="DM Sans" w:eastAsia="DM Sans"/>
                <w:b w:val="0"/>
                <w:i/>
                <w:color w:val="1A1A1A"/>
                <w:sz w:val="15"/>
              </w:rPr>
              <w:t xml:space="preserve">  PROPOSED</w:t>
            </w:r>
          </w:p>
        </w:tc>
        <w:tc>
          <w:tcPr>
            <w:tcW w:type="dxa" w:w="2952"/>
          </w:tcPr>
          <w:p>
            <w:r/>
            <w:r>
              <w:rPr>
                <w:rFonts w:ascii="DM Sans" w:hAnsi="DM Sans" w:eastAsia="DM Sans"/>
                <w:b/>
                <w:i w:val="0"/>
                <w:color w:val="C9A646"/>
                <w:sz w:val="15"/>
              </w:rPr>
              <w:t>$14,500</w:t>
            </w:r>
            <w:r>
              <w:rPr>
                <w:rFonts w:ascii="DM Sans" w:hAnsi="DM Sans" w:eastAsia="DM Sans"/>
                <w:b w:val="0"/>
                <w:i/>
                <w:color w:val="1A1A1A"/>
                <w:sz w:val="15"/>
              </w:rPr>
              <w:t xml:space="preserve">  PROPOSED</w:t>
            </w:r>
          </w:p>
        </w:tc>
      </w:tr>
      <w:tr>
        <w:tc>
          <w:tcPr>
            <w:tcW w:type="dxa" w:w="1872"/>
            <w:shd w:val="clear" w:color="auto" w:fill="FAF7EE"/>
          </w:tcPr>
          <w:p>
            <w:r/>
            <w:r>
              <w:rPr>
                <w:rFonts w:ascii="DM Sans" w:hAnsi="DM Sans" w:eastAsia="DM Sans"/>
                <w:b/>
                <w:i w:val="0"/>
                <w:color w:val="1A1A1A"/>
                <w:sz w:val="15"/>
              </w:rPr>
              <w:t>Website</w:t>
            </w:r>
          </w:p>
        </w:tc>
        <w:tc>
          <w:tcPr>
            <w:tcW w:type="dxa" w:w="2808"/>
            <w:shd w:val="clear" w:color="auto" w:fill="FAF7EE"/>
          </w:tcPr>
          <w:p>
            <w:r/>
            <w:r>
              <w:rPr>
                <w:rFonts w:ascii="DM Sans" w:hAnsi="DM Sans" w:eastAsia="DM Sans"/>
                <w:b w:val="0"/>
                <w:i w:val="0"/>
                <w:color w:val="1A1A1A"/>
                <w:sz w:val="15"/>
              </w:rPr>
              <w:t>5 pages, application form with consent capture</w:t>
            </w:r>
          </w:p>
        </w:tc>
        <w:tc>
          <w:tcPr>
            <w:tcW w:type="dxa" w:w="3168"/>
            <w:shd w:val="clear" w:color="auto" w:fill="FAF7EE"/>
          </w:tcPr>
          <w:p>
            <w:r/>
            <w:r>
              <w:rPr>
                <w:rFonts w:ascii="DM Sans" w:hAnsi="DM Sans" w:eastAsia="DM Sans"/>
                <w:b w:val="0"/>
                <w:i w:val="0"/>
                <w:color w:val="1A1A1A"/>
                <w:sz w:val="15"/>
              </w:rPr>
              <w:t>10 pages plus 6 Florida city pages</w:t>
            </w:r>
          </w:p>
        </w:tc>
        <w:tc>
          <w:tcPr>
            <w:tcW w:type="dxa" w:w="2952"/>
            <w:shd w:val="clear" w:color="auto" w:fill="FAF7EE"/>
          </w:tcPr>
          <w:p>
            <w:r/>
            <w:r>
              <w:rPr>
                <w:rFonts w:ascii="DM Sans" w:hAnsi="DM Sans" w:eastAsia="DM Sans"/>
                <w:b w:val="0"/>
                <w:i w:val="0"/>
                <w:color w:val="1A1A1A"/>
                <w:sz w:val="15"/>
              </w:rPr>
              <w:t>15 pages, brand identity refresh, funding calculators</w:t>
            </w:r>
          </w:p>
        </w:tc>
      </w:tr>
      <w:tr>
        <w:tc>
          <w:tcPr>
            <w:tcW w:type="dxa" w:w="1872"/>
          </w:tcPr>
          <w:p>
            <w:r/>
            <w:r>
              <w:rPr>
                <w:rFonts w:ascii="DM Sans" w:hAnsi="DM Sans" w:eastAsia="DM Sans"/>
                <w:b/>
                <w:i w:val="0"/>
                <w:color w:val="1A1A1A"/>
                <w:sz w:val="15"/>
              </w:rPr>
              <w:t>Lead Finder</w:t>
            </w:r>
            <w:r>
              <w:rPr>
                <w:rFonts w:ascii="DM Sans" w:hAnsi="DM Sans" w:eastAsia="DM Sans"/>
                <w:b w:val="0"/>
                <w:i/>
                <w:color w:val="1A1A1A"/>
                <w:sz w:val="15"/>
              </w:rPr>
              <w:t xml:space="preserve"> (design pending CEO decision)</w:t>
            </w:r>
          </w:p>
        </w:tc>
        <w:tc>
          <w:tcPr>
            <w:tcW w:type="dxa" w:w="2808"/>
          </w:tcPr>
          <w:p>
            <w:r/>
            <w:r>
              <w:rPr>
                <w:rFonts w:ascii="DM Sans" w:hAnsi="DM Sans" w:eastAsia="DM Sans"/>
                <w:b w:val="0"/>
                <w:i w:val="0"/>
                <w:color w:val="1A1A1A"/>
                <w:sz w:val="15"/>
              </w:rPr>
              <w:t>1 metro region, up to 5 counties</w:t>
            </w:r>
          </w:p>
        </w:tc>
        <w:tc>
          <w:tcPr>
            <w:tcW w:type="dxa" w:w="3168"/>
          </w:tcPr>
          <w:p>
            <w:r/>
            <w:r>
              <w:rPr>
                <w:rFonts w:ascii="DM Sans" w:hAnsi="DM Sans" w:eastAsia="DM Sans"/>
                <w:b w:val="0"/>
                <w:i w:val="0"/>
                <w:color w:val="1A1A1A"/>
                <w:sz w:val="15"/>
              </w:rPr>
              <w:t>All 67 Florida counties, industry filters, saved searches</w:t>
            </w:r>
          </w:p>
        </w:tc>
        <w:tc>
          <w:tcPr>
            <w:tcW w:type="dxa" w:w="2952"/>
          </w:tcPr>
          <w:p>
            <w:r/>
            <w:r>
              <w:rPr>
                <w:rFonts w:ascii="DM Sans" w:hAnsi="DM Sans" w:eastAsia="DM Sans"/>
                <w:b w:val="0"/>
                <w:i w:val="0"/>
                <w:color w:val="1A1A1A"/>
                <w:sz w:val="15"/>
              </w:rPr>
              <w:t>Statewide plus 2 more states configured</w:t>
            </w:r>
          </w:p>
        </w:tc>
      </w:tr>
      <w:tr>
        <w:tc>
          <w:tcPr>
            <w:tcW w:type="dxa" w:w="1872"/>
            <w:shd w:val="clear" w:color="auto" w:fill="FAF7EE"/>
          </w:tcPr>
          <w:p>
            <w:r/>
            <w:r>
              <w:rPr>
                <w:rFonts w:ascii="DM Sans" w:hAnsi="DM Sans" w:eastAsia="DM Sans"/>
                <w:b/>
                <w:i w:val="0"/>
                <w:color w:val="1A1A1A"/>
                <w:sz w:val="15"/>
              </w:rPr>
              <w:t>AI Lead Scorer</w:t>
            </w:r>
          </w:p>
        </w:tc>
        <w:tc>
          <w:tcPr>
            <w:tcW w:type="dxa" w:w="2808"/>
            <w:shd w:val="clear" w:color="auto" w:fill="FAF7EE"/>
          </w:tcPr>
          <w:p>
            <w:r/>
            <w:r>
              <w:rPr>
                <w:rFonts w:ascii="DM Sans" w:hAnsi="DM Sans" w:eastAsia="DM Sans"/>
                <w:b w:val="0"/>
                <w:i w:val="0"/>
                <w:color w:val="1A1A1A"/>
                <w:sz w:val="15"/>
              </w:rPr>
              <w:t>Starter model on intake answers and a seed set of example deals</w:t>
            </w:r>
          </w:p>
        </w:tc>
        <w:tc>
          <w:tcPr>
            <w:tcW w:type="dxa" w:w="3168"/>
            <w:shd w:val="clear" w:color="auto" w:fill="FAF7EE"/>
          </w:tcPr>
          <w:p>
            <w:r/>
            <w:r>
              <w:rPr>
                <w:rFonts w:ascii="DM Sans" w:hAnsi="DM Sans" w:eastAsia="DM Sans"/>
                <w:b w:val="0"/>
                <w:i w:val="0"/>
                <w:color w:val="1A1A1A"/>
                <w:sz w:val="15"/>
              </w:rPr>
              <w:t>Tuned on your funded and declined history</w:t>
            </w:r>
          </w:p>
        </w:tc>
        <w:tc>
          <w:tcPr>
            <w:tcW w:type="dxa" w:w="2952"/>
            <w:shd w:val="clear" w:color="auto" w:fill="FAF7EE"/>
          </w:tcPr>
          <w:p>
            <w:r/>
            <w:r>
              <w:rPr>
                <w:rFonts w:ascii="DM Sans" w:hAnsi="DM Sans" w:eastAsia="DM Sans"/>
                <w:b w:val="0"/>
                <w:i w:val="0"/>
                <w:color w:val="1A1A1A"/>
                <w:sz w:val="15"/>
              </w:rPr>
              <w:t>Pro, plus a monthly retune for the first 6 months</w:t>
            </w:r>
          </w:p>
        </w:tc>
      </w:tr>
      <w:tr>
        <w:tc>
          <w:tcPr>
            <w:tcW w:type="dxa" w:w="1872"/>
          </w:tcPr>
          <w:p>
            <w:r/>
            <w:r>
              <w:rPr>
                <w:rFonts w:ascii="DM Sans" w:hAnsi="DM Sans" w:eastAsia="DM Sans"/>
                <w:b/>
                <w:i w:val="0"/>
                <w:color w:val="1A1A1A"/>
                <w:sz w:val="15"/>
              </w:rPr>
              <w:t>Outreach CRM</w:t>
            </w:r>
          </w:p>
        </w:tc>
        <w:tc>
          <w:tcPr>
            <w:tcW w:type="dxa" w:w="2808"/>
          </w:tcPr>
          <w:p>
            <w:r/>
            <w:r>
              <w:rPr>
                <w:rFonts w:ascii="DM Sans" w:hAnsi="DM Sans" w:eastAsia="DM Sans"/>
                <w:b w:val="0"/>
                <w:i w:val="0"/>
                <w:color w:val="1A1A1A"/>
                <w:sz w:val="15"/>
              </w:rPr>
              <w:t>Pipeline and one click email</w:t>
            </w:r>
          </w:p>
        </w:tc>
        <w:tc>
          <w:tcPr>
            <w:tcW w:type="dxa" w:w="3168"/>
          </w:tcPr>
          <w:p>
            <w:r/>
            <w:r>
              <w:rPr>
                <w:rFonts w:ascii="DM Sans" w:hAnsi="DM Sans" w:eastAsia="DM Sans"/>
                <w:b w:val="0"/>
                <w:i w:val="0"/>
                <w:color w:val="1A1A1A"/>
                <w:sz w:val="15"/>
              </w:rPr>
              <w:t>Adds one click call and text logging, funder submission and commission tracker</w:t>
            </w:r>
          </w:p>
        </w:tc>
        <w:tc>
          <w:tcPr>
            <w:tcW w:type="dxa" w:w="2952"/>
          </w:tcPr>
          <w:p>
            <w:r/>
            <w:r>
              <w:rPr>
                <w:rFonts w:ascii="DM Sans" w:hAnsi="DM Sans" w:eastAsia="DM Sans"/>
                <w:b w:val="0"/>
                <w:i w:val="0"/>
                <w:color w:val="1A1A1A"/>
                <w:sz w:val="15"/>
              </w:rPr>
              <w:t>Adds renewal tracker, dashboards, document checklist</w:t>
            </w:r>
          </w:p>
        </w:tc>
      </w:tr>
      <w:tr>
        <w:tc>
          <w:tcPr>
            <w:tcW w:type="dxa" w:w="1872"/>
            <w:shd w:val="clear" w:color="auto" w:fill="FAF7EE"/>
          </w:tcPr>
          <w:p>
            <w:r/>
            <w:r>
              <w:rPr>
                <w:rFonts w:ascii="DM Sans" w:hAnsi="DM Sans" w:eastAsia="DM Sans"/>
                <w:b/>
                <w:i w:val="0"/>
                <w:color w:val="1A1A1A"/>
                <w:sz w:val="15"/>
              </w:rPr>
              <w:t>Training and support</w:t>
            </w:r>
          </w:p>
        </w:tc>
        <w:tc>
          <w:tcPr>
            <w:tcW w:type="dxa" w:w="2808"/>
            <w:shd w:val="clear" w:color="auto" w:fill="FAF7EE"/>
          </w:tcPr>
          <w:p>
            <w:r/>
            <w:r>
              <w:rPr>
                <w:rFonts w:ascii="DM Sans" w:hAnsi="DM Sans" w:eastAsia="DM Sans"/>
                <w:b w:val="0"/>
                <w:i w:val="0"/>
                <w:color w:val="1A1A1A"/>
                <w:sz w:val="15"/>
              </w:rPr>
              <w:t>1 session, 30 days of fixes</w:t>
            </w:r>
          </w:p>
        </w:tc>
        <w:tc>
          <w:tcPr>
            <w:tcW w:type="dxa" w:w="3168"/>
            <w:shd w:val="clear" w:color="auto" w:fill="FAF7EE"/>
          </w:tcPr>
          <w:p>
            <w:r/>
            <w:r>
              <w:rPr>
                <w:rFonts w:ascii="DM Sans" w:hAnsi="DM Sans" w:eastAsia="DM Sans"/>
                <w:b w:val="0"/>
                <w:i w:val="0"/>
                <w:color w:val="1A1A1A"/>
                <w:sz w:val="15"/>
              </w:rPr>
              <w:t>2 sessions, 60 days of fixes</w:t>
            </w:r>
          </w:p>
        </w:tc>
        <w:tc>
          <w:tcPr>
            <w:tcW w:type="dxa" w:w="2952"/>
            <w:shd w:val="clear" w:color="auto" w:fill="FAF7EE"/>
          </w:tcPr>
          <w:p>
            <w:r/>
            <w:r>
              <w:rPr>
                <w:rFonts w:ascii="DM Sans" w:hAnsi="DM Sans" w:eastAsia="DM Sans"/>
                <w:b w:val="0"/>
                <w:i w:val="0"/>
                <w:color w:val="1A1A1A"/>
                <w:sz w:val="15"/>
              </w:rPr>
              <w:t>3 sessions, launch day support, 90 days of fixes</w:t>
            </w:r>
          </w:p>
        </w:tc>
      </w:tr>
    </w:tbl>
    <w:p>
      <w:pPr>
        <w:spacing w:after="0" w:before="30"/>
      </w:pPr>
      <w:r>
        <w:rPr>
          <w:rFonts w:ascii="DM Sans" w:hAnsi="DM Sans" w:eastAsia="DM Sans"/>
          <w:b/>
          <w:i w:val="0"/>
          <w:color w:val="1A1A1A"/>
          <w:sz w:val="14"/>
        </w:rPr>
        <w:t xml:space="preserve">Optional Care Plan: </w:t>
      </w:r>
      <w:r>
        <w:rPr>
          <w:rFonts w:ascii="DM Sans" w:hAnsi="DM Sans" w:eastAsia="DM Sans"/>
          <w:b/>
          <w:i w:val="0"/>
          <w:color w:val="C9A646"/>
          <w:sz w:val="14"/>
        </w:rPr>
        <w:t xml:space="preserve">$249 per month, PROPOSED, PENDING CEO APPROVAL. </w:t>
      </w:r>
      <w:r>
        <w:rPr>
          <w:rFonts w:ascii="DM Sans" w:hAnsi="DM Sans" w:eastAsia="DM Sans"/>
          <w:b w:val="0"/>
          <w:i w:val="0"/>
          <w:color w:val="1A1A1A"/>
          <w:sz w:val="14"/>
        </w:rPr>
        <w:t>Monitoring, security updates, a monthly API cost review and up to 2 hours of changes. Cancel any month. Final scope and price are confirmed in a signed Statement of Work.</w:t>
      </w:r>
    </w:p>
    <w:p>
      <w:pPr>
        <w:spacing w:before="70" w:after="30"/>
        <w:pBdr>
          <w:bottom w:val="single" w:sz="6" w:color="C9A646" w:space="1"/>
        </w:pBdr>
      </w:pPr>
      <w:r>
        <w:rPr>
          <w:rFonts w:ascii="Cormorant Garamond" w:hAnsi="Cormorant Garamond" w:eastAsia="Cormorant Garamond"/>
          <w:b/>
          <w:i w:val="0"/>
          <w:color w:val="C9A646"/>
          <w:sz w:val="22"/>
        </w:rPr>
        <w:t xml:space="preserve">04  </w:t>
      </w:r>
      <w:r>
        <w:rPr>
          <w:rFonts w:ascii="Cormorant Garamond" w:hAnsi="Cormorant Garamond" w:eastAsia="Cormorant Garamond"/>
          <w:b/>
          <w:i w:val="0"/>
          <w:color w:val="070707"/>
          <w:sz w:val="19"/>
        </w:rPr>
        <w:t>MONTHLY RUNNING COSTS YOU PAY DIRECTLY (NO NEXORA MARKUP)</w:t>
      </w:r>
    </w:p>
    <w:tbl>
      <w:tblPr>
        <w:tblW w:type="auto" w:w="0"/>
        <w:jc w:val="center"/>
        <w:tblLayout w:type="fixed"/>
        <w:tblLook w:firstColumn="1" w:firstRow="1" w:lastColumn="0" w:lastRow="0" w:noHBand="0" w:noVBand="1" w:val="04A0"/>
        <w:tblBorders>
          <w:top w:val="single" w:sz="4" w:color="D9D2BF"/>
          <w:left w:val="single" w:sz="4" w:color="D9D2BF"/>
          <w:bottom w:val="single" w:sz="4" w:color="D9D2BF"/>
          <w:right w:val="single" w:sz="4" w:color="D9D2BF"/>
          <w:insideH w:val="single" w:sz="4" w:color="D9D2BF"/>
          <w:insideV w:val="single" w:sz="4" w:color="D9D2BF"/>
        </w:tblBorders>
        <w:tblCellMar>
          <w:top w:w="16" w:type="dxa"/>
          <w:left w:w="70" w:type="dxa"/>
          <w:bottom w:w="16" w:type="dxa"/>
          <w:right w:w="70" w:type="dxa"/>
        </w:tblCellMar>
        <w:tblLayout w:type="fixed"/>
      </w:tblPr>
      <w:tblGrid>
        <w:gridCol w:w="2520"/>
        <w:gridCol w:w="5760"/>
        <w:gridCol w:w="2520"/>
      </w:tblGrid>
      <w:tr>
        <w:tc>
          <w:tcPr>
            <w:tcW w:type="dxa" w:w="2520"/>
            <w:shd w:val="clear" w:color="auto" w:fill="070707"/>
          </w:tcPr>
          <w:p>
            <w:r/>
            <w:r>
              <w:rPr>
                <w:rFonts w:ascii="DM Sans" w:hAnsi="DM Sans" w:eastAsia="DM Sans"/>
                <w:b/>
                <w:i w:val="0"/>
                <w:color w:val="F4F0E4"/>
                <w:sz w:val="15"/>
              </w:rPr>
              <w:t>Service</w:t>
            </w:r>
          </w:p>
        </w:tc>
        <w:tc>
          <w:tcPr>
            <w:tcW w:type="dxa" w:w="5760"/>
            <w:shd w:val="clear" w:color="auto" w:fill="070707"/>
          </w:tcPr>
          <w:p>
            <w:r/>
            <w:r>
              <w:rPr>
                <w:rFonts w:ascii="DM Sans" w:hAnsi="DM Sans" w:eastAsia="DM Sans"/>
                <w:b/>
                <w:i w:val="0"/>
                <w:color w:val="F4F0E4"/>
                <w:sz w:val="15"/>
              </w:rPr>
              <w:t>Published price (source)</w:t>
            </w:r>
          </w:p>
        </w:tc>
        <w:tc>
          <w:tcPr>
            <w:tcW w:type="dxa" w:w="2520"/>
            <w:shd w:val="clear" w:color="auto" w:fill="070707"/>
          </w:tcPr>
          <w:p>
            <w:r/>
            <w:r>
              <w:rPr>
                <w:rFonts w:ascii="DM Sans" w:hAnsi="DM Sans" w:eastAsia="DM Sans"/>
                <w:b/>
                <w:i w:val="0"/>
                <w:color w:val="F4F0E4"/>
                <w:sz w:val="15"/>
              </w:rPr>
              <w:t>Your estimate per month</w:t>
            </w:r>
          </w:p>
        </w:tc>
      </w:tr>
      <w:tr>
        <w:tc>
          <w:tcPr>
            <w:tcW w:type="dxa" w:w="2520"/>
          </w:tcPr>
          <w:p>
            <w:r/>
            <w:r>
              <w:rPr>
                <w:rFonts w:ascii="DM Sans" w:hAnsi="DM Sans" w:eastAsia="DM Sans"/>
                <w:b/>
                <w:i w:val="0"/>
                <w:color w:val="1A1A1A"/>
                <w:sz w:val="15"/>
              </w:rPr>
              <w:t>Hosting: Vercel Pro</w:t>
            </w:r>
          </w:p>
        </w:tc>
        <w:tc>
          <w:tcPr>
            <w:tcW w:type="dxa" w:w="5760"/>
          </w:tcPr>
          <w:p>
            <w:r/>
            <w:r>
              <w:rPr>
                <w:rFonts w:ascii="DM Sans" w:hAnsi="DM Sans" w:eastAsia="DM Sans"/>
                <w:b w:val="0"/>
                <w:i w:val="0"/>
                <w:color w:val="1A1A1A"/>
                <w:sz w:val="15"/>
              </w:rPr>
              <w:t>$20 per month; the free Hobby plan is for personal, non commercial use [S7]</w:t>
            </w:r>
          </w:p>
        </w:tc>
        <w:tc>
          <w:tcPr>
            <w:tcW w:type="dxa" w:w="2520"/>
          </w:tcPr>
          <w:p>
            <w:r/>
            <w:r>
              <w:rPr>
                <w:rFonts w:ascii="DM Sans" w:hAnsi="DM Sans" w:eastAsia="DM Sans"/>
                <w:b w:val="0"/>
                <w:i w:val="0"/>
                <w:color w:val="1A1A1A"/>
                <w:sz w:val="15"/>
              </w:rPr>
              <w:t>$20</w:t>
            </w:r>
          </w:p>
        </w:tc>
      </w:tr>
      <w:tr>
        <w:tc>
          <w:tcPr>
            <w:tcW w:type="dxa" w:w="2520"/>
            <w:shd w:val="clear" w:color="auto" w:fill="FAF7EE"/>
          </w:tcPr>
          <w:p>
            <w:r/>
            <w:r>
              <w:rPr>
                <w:rFonts w:ascii="DM Sans" w:hAnsi="DM Sans" w:eastAsia="DM Sans"/>
                <w:b/>
                <w:i w:val="0"/>
                <w:color w:val="1A1A1A"/>
                <w:sz w:val="15"/>
              </w:rPr>
              <w:t>Database: MongoDB Atlas</w:t>
            </w:r>
          </w:p>
        </w:tc>
        <w:tc>
          <w:tcPr>
            <w:tcW w:type="dxa" w:w="5760"/>
            <w:shd w:val="clear" w:color="auto" w:fill="FAF7EE"/>
          </w:tcPr>
          <w:p>
            <w:r/>
            <w:r>
              <w:rPr>
                <w:rFonts w:ascii="DM Sans" w:hAnsi="DM Sans" w:eastAsia="DM Sans"/>
                <w:b w:val="0"/>
                <w:i w:val="0"/>
                <w:color w:val="1A1A1A"/>
                <w:sz w:val="15"/>
              </w:rPr>
              <w:t>Flex $8 to $30 per month; Dedicated M10 from $56.94 per month [S2]</w:t>
            </w:r>
          </w:p>
        </w:tc>
        <w:tc>
          <w:tcPr>
            <w:tcW w:type="dxa" w:w="2520"/>
            <w:shd w:val="clear" w:color="auto" w:fill="FAF7EE"/>
          </w:tcPr>
          <w:p>
            <w:r/>
            <w:r>
              <w:rPr>
                <w:rFonts w:ascii="DM Sans" w:hAnsi="DM Sans" w:eastAsia="DM Sans"/>
                <w:b w:val="0"/>
                <w:i w:val="0"/>
                <w:color w:val="1A1A1A"/>
                <w:sz w:val="15"/>
              </w:rPr>
              <w:t>$8 to $30 (Flex)</w:t>
            </w:r>
          </w:p>
        </w:tc>
      </w:tr>
      <w:tr>
        <w:tc>
          <w:tcPr>
            <w:tcW w:type="dxa" w:w="2520"/>
          </w:tcPr>
          <w:p>
            <w:r/>
            <w:r>
              <w:rPr>
                <w:rFonts w:ascii="DM Sans" w:hAnsi="DM Sans" w:eastAsia="DM Sans"/>
                <w:b/>
                <w:i w:val="0"/>
                <w:color w:val="1A1A1A"/>
                <w:sz w:val="15"/>
              </w:rPr>
              <w:t>Embeddings: Voyage AI voyage-finance-2</w:t>
            </w:r>
          </w:p>
        </w:tc>
        <w:tc>
          <w:tcPr>
            <w:tcW w:type="dxa" w:w="5760"/>
          </w:tcPr>
          <w:p>
            <w:r/>
            <w:r>
              <w:rPr>
                <w:rFonts w:ascii="DM Sans" w:hAnsi="DM Sans" w:eastAsia="DM Sans"/>
                <w:b w:val="0"/>
                <w:i w:val="0"/>
                <w:color w:val="1A1A1A"/>
                <w:sz w:val="15"/>
              </w:rPr>
              <w:t>First 50 million tokens free per account, then $0.12 per million tokens [S1]</w:t>
            </w:r>
          </w:p>
        </w:tc>
        <w:tc>
          <w:tcPr>
            <w:tcW w:type="dxa" w:w="2520"/>
          </w:tcPr>
          <w:p>
            <w:r/>
            <w:r>
              <w:rPr>
                <w:rFonts w:ascii="DM Sans" w:hAnsi="DM Sans" w:eastAsia="DM Sans"/>
                <w:b w:val="0"/>
                <w:i w:val="0"/>
                <w:color w:val="1A1A1A"/>
                <w:sz w:val="15"/>
              </w:rPr>
              <w:t>About $0 to $1 (ESTIMATE: 2.5M tokens)</w:t>
            </w:r>
          </w:p>
        </w:tc>
      </w:tr>
      <w:tr>
        <w:tc>
          <w:tcPr>
            <w:tcW w:type="dxa" w:w="2520"/>
            <w:shd w:val="clear" w:color="auto" w:fill="FAF7EE"/>
          </w:tcPr>
          <w:p>
            <w:r/>
            <w:r>
              <w:rPr>
                <w:rFonts w:ascii="DM Sans" w:hAnsi="DM Sans" w:eastAsia="DM Sans"/>
                <w:b/>
                <w:i w:val="0"/>
                <w:color w:val="1A1A1A"/>
                <w:sz w:val="15"/>
              </w:rPr>
              <w:t>Business research: Google Places API (New), billed to your own Google Cloud account</w:t>
            </w:r>
          </w:p>
        </w:tc>
        <w:tc>
          <w:tcPr>
            <w:tcW w:type="dxa" w:w="5760"/>
            <w:shd w:val="clear" w:color="auto" w:fill="FAF7EE"/>
          </w:tcPr>
          <w:p>
            <w:r/>
            <w:r>
              <w:rPr>
                <w:rFonts w:ascii="DM Sans" w:hAnsi="DM Sans" w:eastAsia="DM Sans"/>
                <w:b w:val="0"/>
                <w:i w:val="0"/>
                <w:color w:val="1A1A1A"/>
                <w:sz w:val="15"/>
              </w:rPr>
              <w:t>Text Search IDs Only: no charge. Place Details Enterprise: 1,000 free monthly, then $20 per 1,000. Place Details Pro: 5,000 free, then $17 per 1,000 [S3]</w:t>
            </w:r>
          </w:p>
        </w:tc>
        <w:tc>
          <w:tcPr>
            <w:tcW w:type="dxa" w:w="2520"/>
            <w:shd w:val="clear" w:color="auto" w:fill="FAF7EE"/>
          </w:tcPr>
          <w:p>
            <w:r/>
            <w:r>
              <w:rPr>
                <w:rFonts w:ascii="DM Sans" w:hAnsi="DM Sans" w:eastAsia="DM Sans"/>
                <w:b w:val="0"/>
                <w:i w:val="0"/>
                <w:color w:val="1A1A1A"/>
                <w:sz w:val="15"/>
              </w:rPr>
              <w:t>$0 to $80 (ESTIMATE: 1,000 to 5,000 detail lookups)</w:t>
            </w:r>
          </w:p>
        </w:tc>
      </w:tr>
      <w:tr>
        <w:tc>
          <w:tcPr>
            <w:tcW w:type="dxa" w:w="2520"/>
          </w:tcPr>
          <w:p>
            <w:r/>
            <w:r>
              <w:rPr>
                <w:rFonts w:ascii="DM Sans" w:hAnsi="DM Sans" w:eastAsia="DM Sans"/>
                <w:b/>
                <w:i w:val="0"/>
                <w:color w:val="1A1A1A"/>
                <w:sz w:val="15"/>
              </w:rPr>
              <w:t>Texting: Twilio (optional)</w:t>
            </w:r>
          </w:p>
        </w:tc>
        <w:tc>
          <w:tcPr>
            <w:tcW w:type="dxa" w:w="5760"/>
          </w:tcPr>
          <w:p>
            <w:r/>
            <w:r>
              <w:rPr>
                <w:rFonts w:ascii="DM Sans" w:hAnsi="DM Sans" w:eastAsia="DM Sans"/>
                <w:b w:val="0"/>
                <w:i w:val="0"/>
                <w:color w:val="1A1A1A"/>
                <w:sz w:val="15"/>
              </w:rPr>
              <w:t>Number $1.15 per month; $0.0083 per SMS segment plus carrier fees of $0.0035 to $0.005; 10DLC registration fees apply [S8]</w:t>
            </w:r>
          </w:p>
        </w:tc>
        <w:tc>
          <w:tcPr>
            <w:tcW w:type="dxa" w:w="2520"/>
          </w:tcPr>
          <w:p>
            <w:r/>
            <w:r>
              <w:rPr>
                <w:rFonts w:ascii="DM Sans" w:hAnsi="DM Sans" w:eastAsia="DM Sans"/>
                <w:b w:val="0"/>
                <w:i w:val="0"/>
                <w:color w:val="1A1A1A"/>
                <w:sz w:val="15"/>
              </w:rPr>
              <w:t>$0 to about $28 (ESTIMATE: 2,000 segments)</w:t>
            </w:r>
          </w:p>
        </w:tc>
      </w:tr>
      <w:tr>
        <w:tc>
          <w:tcPr>
            <w:tcW w:type="dxa" w:w="2520"/>
            <w:shd w:val="clear" w:color="auto" w:fill="FAF7EE"/>
          </w:tcPr>
          <w:p>
            <w:r/>
            <w:r>
              <w:rPr>
                <w:rFonts w:ascii="DM Sans" w:hAnsi="DM Sans" w:eastAsia="DM Sans"/>
                <w:b/>
                <w:i w:val="0"/>
                <w:color w:val="1A1A1A"/>
                <w:sz w:val="15"/>
              </w:rPr>
              <w:t>Total</w:t>
            </w:r>
          </w:p>
        </w:tc>
        <w:tc>
          <w:tcPr>
            <w:tcW w:type="dxa" w:w="5760"/>
            <w:shd w:val="clear" w:color="auto" w:fill="FAF7EE"/>
          </w:tcPr>
          <w:p>
            <w:r/>
            <w:r>
              <w:rPr>
                <w:rFonts w:ascii="DM Sans" w:hAnsi="DM Sans" w:eastAsia="DM Sans"/>
                <w:b w:val="0"/>
                <w:i/>
                <w:color w:val="1A1A1A"/>
                <w:sz w:val="15"/>
              </w:rPr>
              <w:t>Excludes tax, domain, email mailbox, phone plan and 10DLC registration fees</w:t>
            </w:r>
          </w:p>
        </w:tc>
        <w:tc>
          <w:tcPr>
            <w:tcW w:type="dxa" w:w="2520"/>
            <w:shd w:val="clear" w:color="auto" w:fill="FAF7EE"/>
          </w:tcPr>
          <w:p>
            <w:r/>
            <w:r>
              <w:rPr>
                <w:rFonts w:ascii="DM Sans" w:hAnsi="DM Sans" w:eastAsia="DM Sans"/>
                <w:b/>
                <w:i w:val="0"/>
                <w:color w:val="C9A646"/>
                <w:sz w:val="15"/>
              </w:rPr>
              <w:t>About $28 to $160 (ESTIMATE)</w:t>
            </w:r>
          </w:p>
        </w:tc>
      </w:tr>
    </w:tbl>
    <w:p>
      <w:pPr>
        <w:spacing w:after="0"/>
      </w:pPr>
      <w:r>
        <w:rPr>
          <w:sz w:val="2"/>
        </w:rPr>
        <w:br w:type="page"/>
      </w:r>
    </w:p>
    <w:p>
      <w:pPr>
        <w:spacing w:before="70" w:after="30"/>
        <w:pBdr>
          <w:bottom w:val="single" w:sz="6" w:color="C9A646" w:space="1"/>
        </w:pBdr>
      </w:pPr>
      <w:r>
        <w:rPr>
          <w:rFonts w:ascii="Cormorant Garamond" w:hAnsi="Cormorant Garamond" w:eastAsia="Cormorant Garamond"/>
          <w:b/>
          <w:i w:val="0"/>
          <w:color w:val="C9A646"/>
          <w:sz w:val="22"/>
        </w:rPr>
        <w:t xml:space="preserve">05  </w:t>
      </w:r>
      <w:r>
        <w:rPr>
          <w:rFonts w:ascii="Cormorant Garamond" w:hAnsi="Cormorant Garamond" w:eastAsia="Cormorant Garamond"/>
          <w:b/>
          <w:i w:val="0"/>
          <w:color w:val="070707"/>
          <w:sz w:val="19"/>
        </w:rPr>
        <w:t>ILLUSTRATIVE ROI: WHAT IT TAKES TO PAY BACK</w:t>
      </w:r>
    </w:p>
    <w:p>
      <w:pPr>
        <w:spacing w:after="30" w:before="0"/>
      </w:pPr>
      <w:r>
        <w:rPr>
          <w:rFonts w:ascii="DM Sans" w:hAnsi="DM Sans" w:eastAsia="DM Sans"/>
          <w:b/>
          <w:i w:val="0"/>
          <w:color w:val="1A1A1A"/>
          <w:sz w:val="14"/>
        </w:rPr>
        <w:t xml:space="preserve">Formula: </w:t>
      </w:r>
      <w:r>
        <w:rPr>
          <w:rFonts w:ascii="DM Sans" w:hAnsi="DM Sans" w:eastAsia="DM Sans"/>
          <w:b w:val="0"/>
          <w:i w:val="0"/>
          <w:color w:val="1A1A1A"/>
          <w:sz w:val="14"/>
        </w:rPr>
        <w:t>monthly commission = incremental funded deals per month × average funded amount × commission %. Break even deals = setup fee ÷ commission per deal. Payback months = setup fee ÷ (monthly commission minus running costs). Published ranges: MCA mostly 6 to 12 points, term loans 1 to 5% [S9]. Every input is an ESTIMATE or ASSUMPTION.</w:t>
      </w:r>
    </w:p>
    <w:tbl>
      <w:tblPr>
        <w:tblW w:type="auto" w:w="0"/>
        <w:jc w:val="center"/>
        <w:tblLayout w:type="fixed"/>
        <w:tblLook w:firstColumn="1" w:firstRow="1" w:lastColumn="0" w:lastRow="0" w:noHBand="0" w:noVBand="1" w:val="04A0"/>
        <w:tblBorders>
          <w:top w:val="single" w:sz="4" w:color="D9D2BF"/>
          <w:left w:val="single" w:sz="4" w:color="D9D2BF"/>
          <w:bottom w:val="single" w:sz="4" w:color="D9D2BF"/>
          <w:right w:val="single" w:sz="4" w:color="D9D2BF"/>
          <w:insideH w:val="single" w:sz="4" w:color="D9D2BF"/>
          <w:insideV w:val="single" w:sz="4" w:color="D9D2BF"/>
        </w:tblBorders>
        <w:tblCellMar>
          <w:top w:w="16" w:type="dxa"/>
          <w:left w:w="70" w:type="dxa"/>
          <w:bottom w:w="16" w:type="dxa"/>
          <w:right w:w="70" w:type="dxa"/>
        </w:tblCellMar>
        <w:tblLayout w:type="fixed"/>
      </w:tblPr>
      <w:tblGrid>
        <w:gridCol w:w="4104"/>
        <w:gridCol w:w="2232"/>
        <w:gridCol w:w="2232"/>
        <w:gridCol w:w="2232"/>
      </w:tblGrid>
      <w:tr>
        <w:tc>
          <w:tcPr>
            <w:tcW w:type="dxa" w:w="4104"/>
            <w:shd w:val="clear" w:color="auto" w:fill="070707"/>
          </w:tcPr>
          <w:p>
            <w:r/>
            <w:r>
              <w:rPr>
                <w:rFonts w:ascii="DM Sans" w:hAnsi="DM Sans" w:eastAsia="DM Sans"/>
                <w:b/>
                <w:i w:val="0"/>
                <w:color w:val="F4F0E4"/>
                <w:sz w:val="14"/>
              </w:rPr>
              <w:t>Input or result</w:t>
            </w:r>
          </w:p>
        </w:tc>
        <w:tc>
          <w:tcPr>
            <w:tcW w:type="dxa" w:w="2232"/>
            <w:shd w:val="clear" w:color="auto" w:fill="070707"/>
          </w:tcPr>
          <w:p>
            <w:r/>
            <w:r>
              <w:rPr>
                <w:rFonts w:ascii="DM Sans" w:hAnsi="DM Sans" w:eastAsia="DM Sans"/>
                <w:b/>
                <w:i w:val="0"/>
                <w:color w:val="F4F0E4"/>
                <w:sz w:val="14"/>
              </w:rPr>
              <w:t>Conservative</w:t>
            </w:r>
          </w:p>
        </w:tc>
        <w:tc>
          <w:tcPr>
            <w:tcW w:type="dxa" w:w="2232"/>
            <w:shd w:val="clear" w:color="auto" w:fill="070707"/>
          </w:tcPr>
          <w:p>
            <w:r/>
            <w:r>
              <w:rPr>
                <w:rFonts w:ascii="DM Sans" w:hAnsi="DM Sans" w:eastAsia="DM Sans"/>
                <w:b/>
                <w:i w:val="0"/>
                <w:color w:val="F4F0E4"/>
                <w:sz w:val="14"/>
              </w:rPr>
              <w:t>Base</w:t>
            </w:r>
          </w:p>
        </w:tc>
        <w:tc>
          <w:tcPr>
            <w:tcW w:type="dxa" w:w="2232"/>
            <w:shd w:val="clear" w:color="auto" w:fill="070707"/>
          </w:tcPr>
          <w:p>
            <w:r/>
            <w:r>
              <w:rPr>
                <w:rFonts w:ascii="DM Sans" w:hAnsi="DM Sans" w:eastAsia="DM Sans"/>
                <w:b/>
                <w:i w:val="0"/>
                <w:color w:val="F4F0E4"/>
                <w:sz w:val="14"/>
              </w:rPr>
              <w:t>Optimistic</w:t>
            </w:r>
          </w:p>
        </w:tc>
      </w:tr>
      <w:tr>
        <w:tc>
          <w:tcPr>
            <w:tcW w:type="dxa" w:w="4104"/>
          </w:tcPr>
          <w:p>
            <w:r/>
            <w:r>
              <w:rPr>
                <w:rFonts w:ascii="DM Sans" w:hAnsi="DM Sans" w:eastAsia="DM Sans"/>
                <w:b/>
                <w:i w:val="0"/>
                <w:color w:val="1A1A1A"/>
                <w:sz w:val="14"/>
              </w:rPr>
              <w:t>Incremental funded deals per month (ASSUMPTION)</w:t>
            </w:r>
          </w:p>
        </w:tc>
        <w:tc>
          <w:tcPr>
            <w:tcW w:type="dxa" w:w="2232"/>
          </w:tcPr>
          <w:p>
            <w:r/>
            <w:r>
              <w:rPr>
                <w:rFonts w:ascii="DM Sans" w:hAnsi="DM Sans" w:eastAsia="DM Sans"/>
                <w:b w:val="0"/>
                <w:i w:val="0"/>
                <w:color w:val="1A1A1A"/>
                <w:sz w:val="14"/>
              </w:rPr>
              <w:t>1</w:t>
            </w:r>
          </w:p>
        </w:tc>
        <w:tc>
          <w:tcPr>
            <w:tcW w:type="dxa" w:w="2232"/>
          </w:tcPr>
          <w:p>
            <w:r/>
            <w:r>
              <w:rPr>
                <w:rFonts w:ascii="DM Sans" w:hAnsi="DM Sans" w:eastAsia="DM Sans"/>
                <w:b w:val="0"/>
                <w:i w:val="0"/>
                <w:color w:val="1A1A1A"/>
                <w:sz w:val="14"/>
              </w:rPr>
              <w:t>2</w:t>
            </w:r>
          </w:p>
        </w:tc>
        <w:tc>
          <w:tcPr>
            <w:tcW w:type="dxa" w:w="2232"/>
          </w:tcPr>
          <w:p>
            <w:r/>
            <w:r>
              <w:rPr>
                <w:rFonts w:ascii="DM Sans" w:hAnsi="DM Sans" w:eastAsia="DM Sans"/>
                <w:b w:val="0"/>
                <w:i w:val="0"/>
                <w:color w:val="1A1A1A"/>
                <w:sz w:val="14"/>
              </w:rPr>
              <w:t>3</w:t>
            </w:r>
          </w:p>
        </w:tc>
      </w:tr>
      <w:tr>
        <w:tc>
          <w:tcPr>
            <w:tcW w:type="dxa" w:w="4104"/>
            <w:shd w:val="clear" w:color="auto" w:fill="FAF7EE"/>
          </w:tcPr>
          <w:p>
            <w:r/>
            <w:r>
              <w:rPr>
                <w:rFonts w:ascii="DM Sans" w:hAnsi="DM Sans" w:eastAsia="DM Sans"/>
                <w:b/>
                <w:i w:val="0"/>
                <w:color w:val="1A1A1A"/>
                <w:sz w:val="14"/>
              </w:rPr>
              <w:t>Average funded amount (ASSUMPTION)</w:t>
            </w:r>
          </w:p>
        </w:tc>
        <w:tc>
          <w:tcPr>
            <w:tcW w:type="dxa" w:w="2232"/>
            <w:shd w:val="clear" w:color="auto" w:fill="FAF7EE"/>
          </w:tcPr>
          <w:p>
            <w:r/>
            <w:r>
              <w:rPr>
                <w:rFonts w:ascii="DM Sans" w:hAnsi="DM Sans" w:eastAsia="DM Sans"/>
                <w:b w:val="0"/>
                <w:i w:val="0"/>
                <w:color w:val="1A1A1A"/>
                <w:sz w:val="14"/>
              </w:rPr>
              <w:t>$25,000</w:t>
            </w:r>
          </w:p>
        </w:tc>
        <w:tc>
          <w:tcPr>
            <w:tcW w:type="dxa" w:w="2232"/>
            <w:shd w:val="clear" w:color="auto" w:fill="FAF7EE"/>
          </w:tcPr>
          <w:p>
            <w:r/>
            <w:r>
              <w:rPr>
                <w:rFonts w:ascii="DM Sans" w:hAnsi="DM Sans" w:eastAsia="DM Sans"/>
                <w:b w:val="0"/>
                <w:i w:val="0"/>
                <w:color w:val="1A1A1A"/>
                <w:sz w:val="14"/>
              </w:rPr>
              <w:t>$40,000</w:t>
            </w:r>
          </w:p>
        </w:tc>
        <w:tc>
          <w:tcPr>
            <w:tcW w:type="dxa" w:w="2232"/>
            <w:shd w:val="clear" w:color="auto" w:fill="FAF7EE"/>
          </w:tcPr>
          <w:p>
            <w:r/>
            <w:r>
              <w:rPr>
                <w:rFonts w:ascii="DM Sans" w:hAnsi="DM Sans" w:eastAsia="DM Sans"/>
                <w:b w:val="0"/>
                <w:i w:val="0"/>
                <w:color w:val="1A1A1A"/>
                <w:sz w:val="14"/>
              </w:rPr>
              <w:t>$60,000</w:t>
            </w:r>
          </w:p>
        </w:tc>
      </w:tr>
      <w:tr>
        <w:tc>
          <w:tcPr>
            <w:tcW w:type="dxa" w:w="4104"/>
          </w:tcPr>
          <w:p>
            <w:r/>
            <w:r>
              <w:rPr>
                <w:rFonts w:ascii="DM Sans" w:hAnsi="DM Sans" w:eastAsia="DM Sans"/>
                <w:b/>
                <w:i w:val="0"/>
                <w:color w:val="1A1A1A"/>
                <w:sz w:val="14"/>
              </w:rPr>
              <w:t>Commission % (ASSUMPTION)</w:t>
            </w:r>
          </w:p>
        </w:tc>
        <w:tc>
          <w:tcPr>
            <w:tcW w:type="dxa" w:w="2232"/>
          </w:tcPr>
          <w:p>
            <w:r/>
            <w:r>
              <w:rPr>
                <w:rFonts w:ascii="DM Sans" w:hAnsi="DM Sans" w:eastAsia="DM Sans"/>
                <w:b w:val="0"/>
                <w:i w:val="0"/>
                <w:color w:val="1A1A1A"/>
                <w:sz w:val="14"/>
              </w:rPr>
              <w:t>4%</w:t>
            </w:r>
          </w:p>
        </w:tc>
        <w:tc>
          <w:tcPr>
            <w:tcW w:type="dxa" w:w="2232"/>
          </w:tcPr>
          <w:p>
            <w:r/>
            <w:r>
              <w:rPr>
                <w:rFonts w:ascii="DM Sans" w:hAnsi="DM Sans" w:eastAsia="DM Sans"/>
                <w:b w:val="0"/>
                <w:i w:val="0"/>
                <w:color w:val="1A1A1A"/>
                <w:sz w:val="14"/>
              </w:rPr>
              <w:t>7%</w:t>
            </w:r>
          </w:p>
        </w:tc>
        <w:tc>
          <w:tcPr>
            <w:tcW w:type="dxa" w:w="2232"/>
          </w:tcPr>
          <w:p>
            <w:r/>
            <w:r>
              <w:rPr>
                <w:rFonts w:ascii="DM Sans" w:hAnsi="DM Sans" w:eastAsia="DM Sans"/>
                <w:b w:val="0"/>
                <w:i w:val="0"/>
                <w:color w:val="1A1A1A"/>
                <w:sz w:val="14"/>
              </w:rPr>
              <w:t>10%</w:t>
            </w:r>
          </w:p>
        </w:tc>
      </w:tr>
      <w:tr>
        <w:tc>
          <w:tcPr>
            <w:tcW w:type="dxa" w:w="4104"/>
            <w:shd w:val="clear" w:color="auto" w:fill="FAF7EE"/>
          </w:tcPr>
          <w:p>
            <w:r/>
            <w:r>
              <w:rPr>
                <w:rFonts w:ascii="DM Sans" w:hAnsi="DM Sans" w:eastAsia="DM Sans"/>
                <w:b/>
                <w:i w:val="0"/>
                <w:color w:val="1A1A1A"/>
                <w:sz w:val="14"/>
              </w:rPr>
              <w:t>Commission per deal</w:t>
            </w:r>
          </w:p>
        </w:tc>
        <w:tc>
          <w:tcPr>
            <w:tcW w:type="dxa" w:w="2232"/>
            <w:shd w:val="clear" w:color="auto" w:fill="FAF7EE"/>
          </w:tcPr>
          <w:p>
            <w:r/>
            <w:r>
              <w:rPr>
                <w:rFonts w:ascii="DM Sans" w:hAnsi="DM Sans" w:eastAsia="DM Sans"/>
                <w:b w:val="0"/>
                <w:i w:val="0"/>
                <w:color w:val="1A1A1A"/>
                <w:sz w:val="14"/>
              </w:rPr>
              <w:t>$1,000</w:t>
            </w:r>
          </w:p>
        </w:tc>
        <w:tc>
          <w:tcPr>
            <w:tcW w:type="dxa" w:w="2232"/>
            <w:shd w:val="clear" w:color="auto" w:fill="FAF7EE"/>
          </w:tcPr>
          <w:p>
            <w:r/>
            <w:r>
              <w:rPr>
                <w:rFonts w:ascii="DM Sans" w:hAnsi="DM Sans" w:eastAsia="DM Sans"/>
                <w:b w:val="0"/>
                <w:i w:val="0"/>
                <w:color w:val="1A1A1A"/>
                <w:sz w:val="14"/>
              </w:rPr>
              <w:t>$2,800</w:t>
            </w:r>
          </w:p>
        </w:tc>
        <w:tc>
          <w:tcPr>
            <w:tcW w:type="dxa" w:w="2232"/>
            <w:shd w:val="clear" w:color="auto" w:fill="FAF7EE"/>
          </w:tcPr>
          <w:p>
            <w:r/>
            <w:r>
              <w:rPr>
                <w:rFonts w:ascii="DM Sans" w:hAnsi="DM Sans" w:eastAsia="DM Sans"/>
                <w:b w:val="0"/>
                <w:i w:val="0"/>
                <w:color w:val="1A1A1A"/>
                <w:sz w:val="14"/>
              </w:rPr>
              <w:t>$6,000</w:t>
            </w:r>
          </w:p>
        </w:tc>
      </w:tr>
      <w:tr>
        <w:tc>
          <w:tcPr>
            <w:tcW w:type="dxa" w:w="4104"/>
          </w:tcPr>
          <w:p>
            <w:r/>
            <w:r>
              <w:rPr>
                <w:rFonts w:ascii="DM Sans" w:hAnsi="DM Sans" w:eastAsia="DM Sans"/>
                <w:b/>
                <w:i w:val="0"/>
                <w:color w:val="1A1A1A"/>
                <w:sz w:val="14"/>
              </w:rPr>
              <w:t>Monthly commission</w:t>
            </w:r>
          </w:p>
        </w:tc>
        <w:tc>
          <w:tcPr>
            <w:tcW w:type="dxa" w:w="2232"/>
          </w:tcPr>
          <w:p>
            <w:r/>
            <w:r>
              <w:rPr>
                <w:rFonts w:ascii="DM Sans" w:hAnsi="DM Sans" w:eastAsia="DM Sans"/>
                <w:b w:val="0"/>
                <w:i w:val="0"/>
                <w:color w:val="1A1A1A"/>
                <w:sz w:val="14"/>
              </w:rPr>
              <w:t>$1,000</w:t>
            </w:r>
          </w:p>
        </w:tc>
        <w:tc>
          <w:tcPr>
            <w:tcW w:type="dxa" w:w="2232"/>
          </w:tcPr>
          <w:p>
            <w:r/>
            <w:r>
              <w:rPr>
                <w:rFonts w:ascii="DM Sans" w:hAnsi="DM Sans" w:eastAsia="DM Sans"/>
                <w:b w:val="0"/>
                <w:i w:val="0"/>
                <w:color w:val="1A1A1A"/>
                <w:sz w:val="14"/>
              </w:rPr>
              <w:t>$5,600</w:t>
            </w:r>
          </w:p>
        </w:tc>
        <w:tc>
          <w:tcPr>
            <w:tcW w:type="dxa" w:w="2232"/>
          </w:tcPr>
          <w:p>
            <w:r/>
            <w:r>
              <w:rPr>
                <w:rFonts w:ascii="DM Sans" w:hAnsi="DM Sans" w:eastAsia="DM Sans"/>
                <w:b w:val="0"/>
                <w:i w:val="0"/>
                <w:color w:val="1A1A1A"/>
                <w:sz w:val="14"/>
              </w:rPr>
              <w:t>$18,000</w:t>
            </w:r>
          </w:p>
        </w:tc>
      </w:tr>
      <w:tr>
        <w:tc>
          <w:tcPr>
            <w:tcW w:type="dxa" w:w="4104"/>
            <w:shd w:val="clear" w:color="auto" w:fill="FAF7EE"/>
          </w:tcPr>
          <w:p>
            <w:r/>
            <w:r>
              <w:rPr>
                <w:rFonts w:ascii="DM Sans" w:hAnsi="DM Sans" w:eastAsia="DM Sans"/>
                <w:b/>
                <w:i w:val="0"/>
                <w:color w:val="1A1A1A"/>
                <w:sz w:val="14"/>
              </w:rPr>
              <w:t>Less running costs (ESTIMATE, high end)</w:t>
            </w:r>
          </w:p>
        </w:tc>
        <w:tc>
          <w:tcPr>
            <w:tcW w:type="dxa" w:w="2232"/>
            <w:shd w:val="clear" w:color="auto" w:fill="FAF7EE"/>
          </w:tcPr>
          <w:p>
            <w:r/>
            <w:r>
              <w:rPr>
                <w:rFonts w:ascii="DM Sans" w:hAnsi="DM Sans" w:eastAsia="DM Sans"/>
                <w:b w:val="0"/>
                <w:i w:val="0"/>
                <w:color w:val="1A1A1A"/>
                <w:sz w:val="14"/>
              </w:rPr>
              <w:t>$160</w:t>
            </w:r>
          </w:p>
        </w:tc>
        <w:tc>
          <w:tcPr>
            <w:tcW w:type="dxa" w:w="2232"/>
            <w:shd w:val="clear" w:color="auto" w:fill="FAF7EE"/>
          </w:tcPr>
          <w:p>
            <w:r/>
            <w:r>
              <w:rPr>
                <w:rFonts w:ascii="DM Sans" w:hAnsi="DM Sans" w:eastAsia="DM Sans"/>
                <w:b w:val="0"/>
                <w:i w:val="0"/>
                <w:color w:val="1A1A1A"/>
                <w:sz w:val="14"/>
              </w:rPr>
              <w:t>$160</w:t>
            </w:r>
          </w:p>
        </w:tc>
        <w:tc>
          <w:tcPr>
            <w:tcW w:type="dxa" w:w="2232"/>
            <w:shd w:val="clear" w:color="auto" w:fill="FAF7EE"/>
          </w:tcPr>
          <w:p>
            <w:r/>
            <w:r>
              <w:rPr>
                <w:rFonts w:ascii="DM Sans" w:hAnsi="DM Sans" w:eastAsia="DM Sans"/>
                <w:b w:val="0"/>
                <w:i w:val="0"/>
                <w:color w:val="1A1A1A"/>
                <w:sz w:val="14"/>
              </w:rPr>
              <w:t>$160</w:t>
            </w:r>
          </w:p>
        </w:tc>
      </w:tr>
      <w:tr>
        <w:tc>
          <w:tcPr>
            <w:tcW w:type="dxa" w:w="4104"/>
          </w:tcPr>
          <w:p>
            <w:r/>
            <w:r>
              <w:rPr>
                <w:rFonts w:ascii="DM Sans" w:hAnsi="DM Sans" w:eastAsia="DM Sans"/>
                <w:b/>
                <w:i w:val="0"/>
                <w:color w:val="1A1A1A"/>
                <w:sz w:val="14"/>
              </w:rPr>
              <w:t>Net per month</w:t>
            </w:r>
          </w:p>
        </w:tc>
        <w:tc>
          <w:tcPr>
            <w:tcW w:type="dxa" w:w="2232"/>
          </w:tcPr>
          <w:p>
            <w:r/>
            <w:r>
              <w:rPr>
                <w:rFonts w:ascii="DM Sans" w:hAnsi="DM Sans" w:eastAsia="DM Sans"/>
                <w:b w:val="0"/>
                <w:i w:val="0"/>
                <w:color w:val="1A1A1A"/>
                <w:sz w:val="14"/>
              </w:rPr>
              <w:t>$840</w:t>
            </w:r>
          </w:p>
        </w:tc>
        <w:tc>
          <w:tcPr>
            <w:tcW w:type="dxa" w:w="2232"/>
          </w:tcPr>
          <w:p>
            <w:r/>
            <w:r>
              <w:rPr>
                <w:rFonts w:ascii="DM Sans" w:hAnsi="DM Sans" w:eastAsia="DM Sans"/>
                <w:b w:val="0"/>
                <w:i w:val="0"/>
                <w:color w:val="1A1A1A"/>
                <w:sz w:val="14"/>
              </w:rPr>
              <w:t>$5,440</w:t>
            </w:r>
          </w:p>
        </w:tc>
        <w:tc>
          <w:tcPr>
            <w:tcW w:type="dxa" w:w="2232"/>
          </w:tcPr>
          <w:p>
            <w:r/>
            <w:r>
              <w:rPr>
                <w:rFonts w:ascii="DM Sans" w:hAnsi="DM Sans" w:eastAsia="DM Sans"/>
                <w:b w:val="0"/>
                <w:i w:val="0"/>
                <w:color w:val="1A1A1A"/>
                <w:sz w:val="14"/>
              </w:rPr>
              <w:t>$17,840</w:t>
            </w:r>
          </w:p>
        </w:tc>
      </w:tr>
      <w:tr>
        <w:tc>
          <w:tcPr>
            <w:tcW w:type="dxa" w:w="4104"/>
            <w:shd w:val="clear" w:color="auto" w:fill="FAF7EE"/>
          </w:tcPr>
          <w:p>
            <w:r/>
            <w:r>
              <w:rPr>
                <w:rFonts w:ascii="DM Sans" w:hAnsi="DM Sans" w:eastAsia="DM Sans"/>
                <w:b/>
                <w:i w:val="0"/>
                <w:color w:val="1A1A1A"/>
                <w:sz w:val="14"/>
              </w:rPr>
              <w:t>Pro $8,500: break even deals | payback</w:t>
            </w:r>
          </w:p>
        </w:tc>
        <w:tc>
          <w:tcPr>
            <w:tcW w:type="dxa" w:w="2232"/>
            <w:shd w:val="clear" w:color="auto" w:fill="FAF7EE"/>
          </w:tcPr>
          <w:p>
            <w:r/>
            <w:r>
              <w:rPr>
                <w:rFonts w:ascii="DM Sans" w:hAnsi="DM Sans" w:eastAsia="DM Sans"/>
                <w:b/>
                <w:i w:val="0"/>
                <w:color w:val="C9A646"/>
                <w:sz w:val="14"/>
              </w:rPr>
              <w:t>8.5 deals | 10.1 months</w:t>
            </w:r>
          </w:p>
        </w:tc>
        <w:tc>
          <w:tcPr>
            <w:tcW w:type="dxa" w:w="2232"/>
            <w:shd w:val="clear" w:color="auto" w:fill="FAF7EE"/>
          </w:tcPr>
          <w:p>
            <w:r/>
            <w:r>
              <w:rPr>
                <w:rFonts w:ascii="DM Sans" w:hAnsi="DM Sans" w:eastAsia="DM Sans"/>
                <w:b/>
                <w:i w:val="0"/>
                <w:color w:val="C9A646"/>
                <w:sz w:val="14"/>
              </w:rPr>
              <w:t>3.0 deals | 1.6 months</w:t>
            </w:r>
          </w:p>
        </w:tc>
        <w:tc>
          <w:tcPr>
            <w:tcW w:type="dxa" w:w="2232"/>
            <w:shd w:val="clear" w:color="auto" w:fill="FAF7EE"/>
          </w:tcPr>
          <w:p>
            <w:r/>
            <w:r>
              <w:rPr>
                <w:rFonts w:ascii="DM Sans" w:hAnsi="DM Sans" w:eastAsia="DM Sans"/>
                <w:b/>
                <w:i w:val="0"/>
                <w:color w:val="C9A646"/>
                <w:sz w:val="14"/>
              </w:rPr>
              <w:t>1.4 deals | 0.5 months</w:t>
            </w:r>
          </w:p>
        </w:tc>
      </w:tr>
      <w:tr>
        <w:tc>
          <w:tcPr>
            <w:tcW w:type="dxa" w:w="4104"/>
          </w:tcPr>
          <w:p>
            <w:r/>
            <w:r>
              <w:rPr>
                <w:rFonts w:ascii="DM Sans" w:hAnsi="DM Sans" w:eastAsia="DM Sans"/>
                <w:b/>
                <w:i w:val="0"/>
                <w:color w:val="1A1A1A"/>
                <w:sz w:val="14"/>
              </w:rPr>
              <w:t>Launch $4,500: break even deals | payback</w:t>
            </w:r>
          </w:p>
        </w:tc>
        <w:tc>
          <w:tcPr>
            <w:tcW w:type="dxa" w:w="2232"/>
          </w:tcPr>
          <w:p>
            <w:r/>
            <w:r>
              <w:rPr>
                <w:rFonts w:ascii="DM Sans" w:hAnsi="DM Sans" w:eastAsia="DM Sans"/>
                <w:b w:val="0"/>
                <w:i w:val="0"/>
                <w:color w:val="1A1A1A"/>
                <w:sz w:val="14"/>
              </w:rPr>
              <w:t>4.5 deals | 5.4 months</w:t>
            </w:r>
          </w:p>
        </w:tc>
        <w:tc>
          <w:tcPr>
            <w:tcW w:type="dxa" w:w="2232"/>
          </w:tcPr>
          <w:p>
            <w:r/>
            <w:r>
              <w:rPr>
                <w:rFonts w:ascii="DM Sans" w:hAnsi="DM Sans" w:eastAsia="DM Sans"/>
                <w:b w:val="0"/>
                <w:i w:val="0"/>
                <w:color w:val="1A1A1A"/>
                <w:sz w:val="14"/>
              </w:rPr>
              <w:t>1.6 deals | 0.8 months</w:t>
            </w:r>
          </w:p>
        </w:tc>
        <w:tc>
          <w:tcPr>
            <w:tcW w:type="dxa" w:w="2232"/>
          </w:tcPr>
          <w:p>
            <w:r/>
            <w:r>
              <w:rPr>
                <w:rFonts w:ascii="DM Sans" w:hAnsi="DM Sans" w:eastAsia="DM Sans"/>
                <w:b w:val="0"/>
                <w:i w:val="0"/>
                <w:color w:val="1A1A1A"/>
                <w:sz w:val="14"/>
              </w:rPr>
              <w:t>0.8 deals | 0.3 months</w:t>
            </w:r>
          </w:p>
        </w:tc>
      </w:tr>
      <w:tr>
        <w:tc>
          <w:tcPr>
            <w:tcW w:type="dxa" w:w="4104"/>
            <w:shd w:val="clear" w:color="auto" w:fill="FAF7EE"/>
          </w:tcPr>
          <w:p>
            <w:r/>
            <w:r>
              <w:rPr>
                <w:rFonts w:ascii="DM Sans" w:hAnsi="DM Sans" w:eastAsia="DM Sans"/>
                <w:b/>
                <w:i w:val="0"/>
                <w:color w:val="1A1A1A"/>
                <w:sz w:val="14"/>
              </w:rPr>
              <w:t>Elite $14,500: break even deals | payback</w:t>
            </w:r>
          </w:p>
        </w:tc>
        <w:tc>
          <w:tcPr>
            <w:tcW w:type="dxa" w:w="2232"/>
            <w:shd w:val="clear" w:color="auto" w:fill="FAF7EE"/>
          </w:tcPr>
          <w:p>
            <w:r/>
            <w:r>
              <w:rPr>
                <w:rFonts w:ascii="DM Sans" w:hAnsi="DM Sans" w:eastAsia="DM Sans"/>
                <w:b w:val="0"/>
                <w:i w:val="0"/>
                <w:color w:val="1A1A1A"/>
                <w:sz w:val="14"/>
              </w:rPr>
              <w:t>14.5 deals | 17.3 months</w:t>
            </w:r>
          </w:p>
        </w:tc>
        <w:tc>
          <w:tcPr>
            <w:tcW w:type="dxa" w:w="2232"/>
            <w:shd w:val="clear" w:color="auto" w:fill="FAF7EE"/>
          </w:tcPr>
          <w:p>
            <w:r/>
            <w:r>
              <w:rPr>
                <w:rFonts w:ascii="DM Sans" w:hAnsi="DM Sans" w:eastAsia="DM Sans"/>
                <w:b w:val="0"/>
                <w:i w:val="0"/>
                <w:color w:val="1A1A1A"/>
                <w:sz w:val="14"/>
              </w:rPr>
              <w:t>5.2 deals | 2.7 months</w:t>
            </w:r>
          </w:p>
        </w:tc>
        <w:tc>
          <w:tcPr>
            <w:tcW w:type="dxa" w:w="2232"/>
            <w:shd w:val="clear" w:color="auto" w:fill="FAF7EE"/>
          </w:tcPr>
          <w:p>
            <w:r/>
            <w:r>
              <w:rPr>
                <w:rFonts w:ascii="DM Sans" w:hAnsi="DM Sans" w:eastAsia="DM Sans"/>
                <w:b w:val="0"/>
                <w:i w:val="0"/>
                <w:color w:val="1A1A1A"/>
                <w:sz w:val="14"/>
              </w:rPr>
              <w:t>2.4 deals | 0.8 months</w:t>
            </w:r>
          </w:p>
        </w:tc>
      </w:tr>
    </w:tbl>
    <w:tbl>
      <w:tblPr>
        <w:tblW w:type="auto" w:w="0"/>
        <w:tblLayout w:type="fixed"/>
        <w:tblLook w:firstColumn="1" w:firstRow="1" w:lastColumn="0" w:lastRow="0" w:noHBand="0" w:noVBand="1" w:val="04A0"/>
        <w:tblBorders>
          <w:top w:val="single" w:sz="8" w:color="C9A646"/>
          <w:left w:val="single" w:sz="8" w:color="C9A646"/>
          <w:bottom w:val="single" w:sz="8" w:color="C9A646"/>
          <w:right w:val="single" w:sz="8" w:color="C9A646"/>
          <w:insideH w:val="nil"/>
          <w:insideV w:val="nil"/>
        </w:tblBorders>
        <w:tblCellMar>
          <w:top w:w="50" w:type="dxa"/>
          <w:left w:w="110" w:type="dxa"/>
          <w:bottom w:w="50" w:type="dxa"/>
          <w:right w:w="110" w:type="dxa"/>
        </w:tblCellMar>
        <w:tblLayout w:type="fixed"/>
      </w:tblPr>
      <w:tblGrid>
        <w:gridCol w:w="10800"/>
      </w:tblGrid>
      <w:tr>
        <w:tc>
          <w:tcPr>
            <w:tcW w:type="dxa" w:w="10800"/>
            <w:shd w:val="clear" w:color="auto" w:fill="FAF7EE"/>
          </w:tcPr>
          <w:p>
            <w:r/>
            <w:r>
              <w:rPr>
                <w:rFonts w:ascii="DM Sans" w:hAnsi="DM Sans" w:eastAsia="DM Sans"/>
                <w:b/>
                <w:i w:val="0"/>
                <w:color w:val="1A1A1A"/>
                <w:sz w:val="14"/>
              </w:rPr>
              <w:t xml:space="preserve">ILLUSTRATIVE ONLY. NOT A PROJECTION OR EARNINGS CLAIM. </w:t>
            </w:r>
            <w:r>
              <w:rPr>
                <w:rFonts w:ascii="DM Sans" w:hAnsi="DM Sans" w:eastAsia="DM Sans"/>
                <w:b w:val="0"/>
                <w:i w:val="0"/>
                <w:color w:val="1A1A1A"/>
                <w:sz w:val="14"/>
              </w:rPr>
              <w:t xml:space="preserve">Results are hypothetical examples using assumed inputs you can change. NEXORA does </w:t>
            </w:r>
            <w:r>
              <w:rPr>
                <w:rFonts w:ascii="DM Sans" w:hAnsi="DM Sans" w:eastAsia="DM Sans"/>
                <w:b/>
                <w:i w:val="0"/>
                <w:color w:val="1A1A1A"/>
                <w:sz w:val="14"/>
              </w:rPr>
              <w:t>not</w:t>
            </w:r>
            <w:r>
              <w:rPr>
                <w:rFonts w:ascii="DM Sans" w:hAnsi="DM Sans" w:eastAsia="DM Sans"/>
                <w:b w:val="0"/>
                <w:i w:val="0"/>
                <w:color w:val="1A1A1A"/>
                <w:sz w:val="14"/>
              </w:rPr>
              <w:t xml:space="preserve"> guarantee leads, meetings, approvals, funded deals, commissions, or income. Figures are gross commissions before clawbacks, splits, taxes, lead spend, chargebacks, and the value of your time. Past or published industry commission ranges are not your results. Replace every input with your own numbers before relying on any payback arithmetic. This section is not financial, tax, or legal advice.</w:t>
            </w:r>
          </w:p>
        </w:tc>
      </w:tr>
    </w:tbl>
    <w:p>
      <w:pPr>
        <w:spacing w:before="70" w:after="30"/>
        <w:pBdr>
          <w:bottom w:val="single" w:sz="6" w:color="C9A646" w:space="1"/>
        </w:pBdr>
      </w:pPr>
      <w:r>
        <w:rPr>
          <w:rFonts w:ascii="Cormorant Garamond" w:hAnsi="Cormorant Garamond" w:eastAsia="Cormorant Garamond"/>
          <w:b/>
          <w:i w:val="0"/>
          <w:color w:val="C9A646"/>
          <w:sz w:val="22"/>
        </w:rPr>
        <w:t xml:space="preserve">06  </w:t>
      </w:r>
      <w:r>
        <w:rPr>
          <w:rFonts w:ascii="Cormorant Garamond" w:hAnsi="Cormorant Garamond" w:eastAsia="Cormorant Garamond"/>
          <w:b/>
          <w:i w:val="0"/>
          <w:color w:val="070707"/>
          <w:sz w:val="19"/>
        </w:rPr>
        <w:t>OWN IT, OR KEEP RENTING TOOLS AND BUYING LEADS</w:t>
      </w:r>
    </w:p>
    <w:tbl>
      <w:tblPr>
        <w:tblW w:type="auto" w:w="0"/>
        <w:jc w:val="center"/>
        <w:tblLayout w:type="fixed"/>
        <w:tblLook w:firstColumn="1" w:firstRow="1" w:lastColumn="0" w:lastRow="0" w:noHBand="0" w:noVBand="1" w:val="04A0"/>
        <w:tblBorders>
          <w:top w:val="single" w:sz="4" w:color="D9D2BF"/>
          <w:left w:val="single" w:sz="4" w:color="D9D2BF"/>
          <w:bottom w:val="single" w:sz="4" w:color="D9D2BF"/>
          <w:right w:val="single" w:sz="4" w:color="D9D2BF"/>
          <w:insideH w:val="single" w:sz="4" w:color="D9D2BF"/>
          <w:insideV w:val="single" w:sz="4" w:color="D9D2BF"/>
        </w:tblBorders>
        <w:tblCellMar>
          <w:top w:w="16" w:type="dxa"/>
          <w:left w:w="70" w:type="dxa"/>
          <w:bottom w:w="16" w:type="dxa"/>
          <w:right w:w="70" w:type="dxa"/>
        </w:tblCellMar>
        <w:tblLayout w:type="fixed"/>
      </w:tblPr>
      <w:tblGrid>
        <w:gridCol w:w="2520"/>
        <w:gridCol w:w="5256"/>
        <w:gridCol w:w="3024"/>
      </w:tblGrid>
      <w:tr>
        <w:tc>
          <w:tcPr>
            <w:tcW w:type="dxa" w:w="2520"/>
            <w:shd w:val="clear" w:color="auto" w:fill="070707"/>
          </w:tcPr>
          <w:p>
            <w:r/>
            <w:r>
              <w:rPr>
                <w:rFonts w:ascii="DM Sans" w:hAnsi="DM Sans" w:eastAsia="DM Sans"/>
                <w:b/>
                <w:i w:val="0"/>
                <w:color w:val="F4F0E4"/>
                <w:sz w:val="14"/>
              </w:rPr>
              <w:t>Option</w:t>
            </w:r>
          </w:p>
        </w:tc>
        <w:tc>
          <w:tcPr>
            <w:tcW w:type="dxa" w:w="5256"/>
            <w:shd w:val="clear" w:color="auto" w:fill="070707"/>
          </w:tcPr>
          <w:p>
            <w:r/>
            <w:r>
              <w:rPr>
                <w:rFonts w:ascii="DM Sans" w:hAnsi="DM Sans" w:eastAsia="DM Sans"/>
                <w:b/>
                <w:i w:val="0"/>
                <w:color w:val="F4F0E4"/>
                <w:sz w:val="14"/>
              </w:rPr>
              <w:t>Published cost (source)</w:t>
            </w:r>
          </w:p>
        </w:tc>
        <w:tc>
          <w:tcPr>
            <w:tcW w:type="dxa" w:w="3024"/>
            <w:shd w:val="clear" w:color="auto" w:fill="070707"/>
          </w:tcPr>
          <w:p>
            <w:r/>
            <w:r>
              <w:rPr>
                <w:rFonts w:ascii="DM Sans" w:hAnsi="DM Sans" w:eastAsia="DM Sans"/>
                <w:b/>
                <w:i w:val="0"/>
                <w:color w:val="F4F0E4"/>
                <w:sz w:val="14"/>
              </w:rPr>
              <w:t>What you get</w:t>
            </w:r>
          </w:p>
        </w:tc>
      </w:tr>
      <w:tr>
        <w:tc>
          <w:tcPr>
            <w:tcW w:type="dxa" w:w="2520"/>
          </w:tcPr>
          <w:p>
            <w:r/>
            <w:r>
              <w:rPr>
                <w:rFonts w:ascii="DM Sans" w:hAnsi="DM Sans" w:eastAsia="DM Sans"/>
                <w:b/>
                <w:i w:val="0"/>
                <w:color w:val="1A1A1A"/>
                <w:sz w:val="14"/>
              </w:rPr>
              <w:t>NEXORA Funding OS, Pro</w:t>
            </w:r>
          </w:p>
        </w:tc>
        <w:tc>
          <w:tcPr>
            <w:tcW w:type="dxa" w:w="5256"/>
          </w:tcPr>
          <w:p>
            <w:r/>
            <w:r>
              <w:rPr>
                <w:rFonts w:ascii="DM Sans" w:hAnsi="DM Sans" w:eastAsia="DM Sans"/>
                <w:b w:val="0"/>
                <w:i w:val="0"/>
                <w:color w:val="1A1A1A"/>
                <w:sz w:val="14"/>
              </w:rPr>
              <w:t>$8,500 once (PROPOSED) plus about $28 to $160 per month running (ESTIMATE)</w:t>
            </w:r>
          </w:p>
        </w:tc>
        <w:tc>
          <w:tcPr>
            <w:tcW w:type="dxa" w:w="3024"/>
          </w:tcPr>
          <w:p>
            <w:r/>
            <w:r>
              <w:rPr>
                <w:rFonts w:ascii="DM Sans" w:hAnsi="DM Sans" w:eastAsia="DM Sans"/>
                <w:b w:val="0"/>
                <w:i w:val="0"/>
                <w:color w:val="1A1A1A"/>
                <w:sz w:val="14"/>
              </w:rPr>
              <w:t>All four components, in your own accounts</w:t>
            </w:r>
          </w:p>
        </w:tc>
      </w:tr>
      <w:tr>
        <w:tc>
          <w:tcPr>
            <w:tcW w:type="dxa" w:w="2520"/>
            <w:shd w:val="clear" w:color="auto" w:fill="FAF7EE"/>
          </w:tcPr>
          <w:p>
            <w:r/>
            <w:r>
              <w:rPr>
                <w:rFonts w:ascii="DM Sans" w:hAnsi="DM Sans" w:eastAsia="DM Sans"/>
                <w:b/>
                <w:i w:val="0"/>
                <w:color w:val="1A1A1A"/>
                <w:sz w:val="14"/>
              </w:rPr>
              <w:t>GoHighLevel Starter</w:t>
            </w:r>
          </w:p>
        </w:tc>
        <w:tc>
          <w:tcPr>
            <w:tcW w:type="dxa" w:w="5256"/>
            <w:shd w:val="clear" w:color="auto" w:fill="FAF7EE"/>
          </w:tcPr>
          <w:p>
            <w:r/>
            <w:r>
              <w:rPr>
                <w:rFonts w:ascii="DM Sans" w:hAnsi="DM Sans" w:eastAsia="DM Sans"/>
                <w:b w:val="0"/>
                <w:i w:val="0"/>
                <w:color w:val="1A1A1A"/>
                <w:sz w:val="14"/>
              </w:rPr>
              <w:t>$97 per month or $970 per year; usage fees extra [S10]</w:t>
            </w:r>
          </w:p>
        </w:tc>
        <w:tc>
          <w:tcPr>
            <w:tcW w:type="dxa" w:w="3024"/>
            <w:shd w:val="clear" w:color="auto" w:fill="FAF7EE"/>
          </w:tcPr>
          <w:p>
            <w:r/>
            <w:r>
              <w:rPr>
                <w:rFonts w:ascii="DM Sans" w:hAnsi="DM Sans" w:eastAsia="DM Sans"/>
                <w:b w:val="0"/>
                <w:i w:val="0"/>
                <w:color w:val="1A1A1A"/>
                <w:sz w:val="14"/>
              </w:rPr>
              <w:t>Rented CRM, funnels, site builder</w:t>
            </w:r>
          </w:p>
        </w:tc>
      </w:tr>
      <w:tr>
        <w:tc>
          <w:tcPr>
            <w:tcW w:type="dxa" w:w="2520"/>
          </w:tcPr>
          <w:p>
            <w:r/>
            <w:r>
              <w:rPr>
                <w:rFonts w:ascii="DM Sans" w:hAnsi="DM Sans" w:eastAsia="DM Sans"/>
                <w:b/>
                <w:i w:val="0"/>
                <w:color w:val="1A1A1A"/>
                <w:sz w:val="14"/>
              </w:rPr>
              <w:t>HubSpot Sales Hub</w:t>
            </w:r>
          </w:p>
        </w:tc>
        <w:tc>
          <w:tcPr>
            <w:tcW w:type="dxa" w:w="5256"/>
          </w:tcPr>
          <w:p>
            <w:r/>
            <w:r>
              <w:rPr>
                <w:rFonts w:ascii="DM Sans" w:hAnsi="DM Sans" w:eastAsia="DM Sans"/>
                <w:b w:val="0"/>
                <w:i w:val="0"/>
                <w:color w:val="1A1A1A"/>
                <w:sz w:val="14"/>
              </w:rPr>
              <w:t>Starter from $20 per seat per month; Professional $100 per seat per month plus $1,500 required onboarding [S11]</w:t>
            </w:r>
          </w:p>
        </w:tc>
        <w:tc>
          <w:tcPr>
            <w:tcW w:type="dxa" w:w="3024"/>
          </w:tcPr>
          <w:p>
            <w:r/>
            <w:r>
              <w:rPr>
                <w:rFonts w:ascii="DM Sans" w:hAnsi="DM Sans" w:eastAsia="DM Sans"/>
                <w:b w:val="0"/>
                <w:i w:val="0"/>
                <w:color w:val="1A1A1A"/>
                <w:sz w:val="14"/>
              </w:rPr>
              <w:t>Rented CRM; no Florida lead engine</w:t>
            </w:r>
          </w:p>
        </w:tc>
      </w:tr>
      <w:tr>
        <w:tc>
          <w:tcPr>
            <w:tcW w:type="dxa" w:w="2520"/>
            <w:shd w:val="clear" w:color="auto" w:fill="FAF7EE"/>
          </w:tcPr>
          <w:p>
            <w:r/>
            <w:r>
              <w:rPr>
                <w:rFonts w:ascii="DM Sans" w:hAnsi="DM Sans" w:eastAsia="DM Sans"/>
                <w:b/>
                <w:i w:val="0"/>
                <w:color w:val="1A1A1A"/>
                <w:sz w:val="14"/>
              </w:rPr>
              <w:t>Salesforce</w:t>
            </w:r>
          </w:p>
        </w:tc>
        <w:tc>
          <w:tcPr>
            <w:tcW w:type="dxa" w:w="5256"/>
            <w:shd w:val="clear" w:color="auto" w:fill="FAF7EE"/>
          </w:tcPr>
          <w:p>
            <w:r/>
            <w:r>
              <w:rPr>
                <w:rFonts w:ascii="DM Sans" w:hAnsi="DM Sans" w:eastAsia="DM Sans"/>
                <w:b w:val="0"/>
                <w:i w:val="0"/>
                <w:color w:val="1A1A1A"/>
                <w:sz w:val="14"/>
              </w:rPr>
              <w:t>Starter Suite $25, Pro Suite $100, Core $195 per user per month [S12]</w:t>
            </w:r>
          </w:p>
        </w:tc>
        <w:tc>
          <w:tcPr>
            <w:tcW w:type="dxa" w:w="3024"/>
            <w:shd w:val="clear" w:color="auto" w:fill="FAF7EE"/>
          </w:tcPr>
          <w:p>
            <w:r/>
            <w:r>
              <w:rPr>
                <w:rFonts w:ascii="DM Sans" w:hAnsi="DM Sans" w:eastAsia="DM Sans"/>
                <w:b w:val="0"/>
                <w:i w:val="0"/>
                <w:color w:val="1A1A1A"/>
                <w:sz w:val="14"/>
              </w:rPr>
              <w:t>Rented CRM; you build the workflow</w:t>
            </w:r>
          </w:p>
        </w:tc>
      </w:tr>
      <w:tr>
        <w:tc>
          <w:tcPr>
            <w:tcW w:type="dxa" w:w="2520"/>
          </w:tcPr>
          <w:p>
            <w:r/>
            <w:r>
              <w:rPr>
                <w:rFonts w:ascii="DM Sans" w:hAnsi="DM Sans" w:eastAsia="DM Sans"/>
                <w:b/>
                <w:i w:val="0"/>
                <w:color w:val="1A1A1A"/>
                <w:sz w:val="14"/>
              </w:rPr>
              <w:t>LendSaaS, Centrex, Lendflow; LendingTree style leads</w:t>
            </w:r>
          </w:p>
        </w:tc>
        <w:tc>
          <w:tcPr>
            <w:tcW w:type="dxa" w:w="5256"/>
          </w:tcPr>
          <w:p>
            <w:r/>
            <w:r>
              <w:rPr>
                <w:rFonts w:ascii="DM Sans" w:hAnsi="DM Sans" w:eastAsia="DM Sans"/>
                <w:b w:val="0"/>
                <w:i w:val="0"/>
                <w:color w:val="1A1A1A"/>
                <w:sz w:val="14"/>
              </w:rPr>
              <w:t xml:space="preserve">No published price found; quote only. </w:t>
            </w:r>
            <w:r>
              <w:rPr>
                <w:rFonts w:ascii="DM Sans" w:hAnsi="DM Sans" w:eastAsia="DM Sans"/>
                <w:b/>
                <w:i w:val="0"/>
                <w:color w:val="1A1A1A"/>
                <w:sz w:val="14"/>
              </w:rPr>
              <w:t>UNKNOWN</w:t>
            </w:r>
            <w:r>
              <w:rPr>
                <w:rFonts w:ascii="DM Sans" w:hAnsi="DM Sans" w:eastAsia="DM Sans"/>
                <w:b w:val="0"/>
                <w:i w:val="0"/>
                <w:color w:val="1A1A1A"/>
                <w:sz w:val="14"/>
              </w:rPr>
              <w:t xml:space="preserve"> [S13]</w:t>
            </w:r>
          </w:p>
        </w:tc>
        <w:tc>
          <w:tcPr>
            <w:tcW w:type="dxa" w:w="3024"/>
          </w:tcPr>
          <w:p>
            <w:r/>
            <w:r>
              <w:rPr>
                <w:rFonts w:ascii="DM Sans" w:hAnsi="DM Sans" w:eastAsia="DM Sans"/>
                <w:b w:val="0"/>
                <w:i w:val="0"/>
                <w:color w:val="1A1A1A"/>
                <w:sz w:val="14"/>
              </w:rPr>
              <w:t>Lending platforms; marketplace leads</w:t>
            </w:r>
          </w:p>
        </w:tc>
      </w:tr>
      <w:tr>
        <w:tc>
          <w:tcPr>
            <w:tcW w:type="dxa" w:w="2520"/>
            <w:shd w:val="clear" w:color="auto" w:fill="FAF7EE"/>
          </w:tcPr>
          <w:p>
            <w:r/>
            <w:r>
              <w:rPr>
                <w:rFonts w:ascii="DM Sans" w:hAnsi="DM Sans" w:eastAsia="DM Sans"/>
                <w:b/>
                <w:i w:val="0"/>
                <w:color w:val="1A1A1A"/>
                <w:sz w:val="14"/>
              </w:rPr>
              <w:t>Buying leads (LoanLeads.io)</w:t>
            </w:r>
          </w:p>
        </w:tc>
        <w:tc>
          <w:tcPr>
            <w:tcW w:type="dxa" w:w="5256"/>
            <w:shd w:val="clear" w:color="auto" w:fill="FAF7EE"/>
          </w:tcPr>
          <w:p>
            <w:r/>
            <w:r>
              <w:rPr>
                <w:rFonts w:ascii="DM Sans" w:hAnsi="DM Sans" w:eastAsia="DM Sans"/>
                <w:b w:val="0"/>
                <w:i w:val="0"/>
                <w:color w:val="1A1A1A"/>
                <w:sz w:val="14"/>
              </w:rPr>
              <w:t>Exclusive real time $60 each (150 pack $9,000); shared $15 to $35; aged $0.20 to $1.00 per record, 5,000 minimum; plus 4% fee [S14]</w:t>
            </w:r>
          </w:p>
        </w:tc>
        <w:tc>
          <w:tcPr>
            <w:tcW w:type="dxa" w:w="3024"/>
            <w:shd w:val="clear" w:color="auto" w:fill="FAF7EE"/>
          </w:tcPr>
          <w:p>
            <w:r/>
            <w:r>
              <w:rPr>
                <w:rFonts w:ascii="DM Sans" w:hAnsi="DM Sans" w:eastAsia="DM Sans"/>
                <w:b w:val="0"/>
                <w:i w:val="0"/>
                <w:color w:val="1A1A1A"/>
                <w:sz w:val="14"/>
              </w:rPr>
              <w:t>Leads that are used up once worked</w:t>
            </w:r>
          </w:p>
        </w:tc>
      </w:tr>
    </w:tbl>
    <w:p>
      <w:pPr>
        <w:spacing w:after="0" w:before="30"/>
      </w:pPr>
      <w:r>
        <w:rPr>
          <w:rFonts w:ascii="DM Sans" w:hAnsi="DM Sans" w:eastAsia="DM Sans"/>
          <w:b/>
          <w:i w:val="0"/>
          <w:color w:val="1A1A1A"/>
          <w:sz w:val="14"/>
        </w:rPr>
        <w:t xml:space="preserve">Three year arithmetic at list price, one seat: </w:t>
      </w:r>
      <w:r>
        <w:rPr>
          <w:rFonts w:ascii="DM Sans" w:hAnsi="DM Sans" w:eastAsia="DM Sans"/>
          <w:b w:val="0"/>
          <w:i w:val="0"/>
          <w:color w:val="1A1A1A"/>
          <w:sz w:val="14"/>
        </w:rPr>
        <w:t>HubSpot Sales Hub Professional $5,100 (CRM only); GoHighLevel Starter $2,910; NEXORA Pro $8,500 + ($28 to $160) × 36 = $9,508 to $14,260 (ESTIMATE, all four components, owned). Not like for like: rented tools include vendor updates and support.</w:t>
      </w:r>
    </w:p>
    <w:p>
      <w:pPr>
        <w:spacing w:before="70" w:after="30"/>
        <w:pBdr>
          <w:bottom w:val="single" w:sz="6" w:color="C9A646" w:space="1"/>
        </w:pBdr>
      </w:pPr>
      <w:r>
        <w:rPr>
          <w:rFonts w:ascii="Cormorant Garamond" w:hAnsi="Cormorant Garamond" w:eastAsia="Cormorant Garamond"/>
          <w:b/>
          <w:i w:val="0"/>
          <w:color w:val="C9A646"/>
          <w:sz w:val="22"/>
        </w:rPr>
        <w:t xml:space="preserve">07  </w:t>
      </w:r>
      <w:r>
        <w:rPr>
          <w:rFonts w:ascii="Cormorant Garamond" w:hAnsi="Cormorant Garamond" w:eastAsia="Cormorant Garamond"/>
          <w:b/>
          <w:i w:val="0"/>
          <w:color w:val="070707"/>
          <w:sz w:val="19"/>
        </w:rPr>
        <w:t>COMPLIANCE NOTE: GENERAL INFORMATION, NOT LEGAL ADVICE</w:t>
      </w:r>
    </w:p>
    <w:p>
      <w:pPr>
        <w:ind w:left="173" w:hanging="173"/>
      </w:pPr>
      <w:r>
        <w:rPr>
          <w:rFonts w:ascii="DM Sans" w:hAnsi="DM Sans" w:eastAsia="DM Sans"/>
          <w:b w:val="0"/>
          <w:i w:val="0"/>
          <w:color w:val="C9A646"/>
          <w:sz w:val="15"/>
        </w:rPr>
        <w:t xml:space="preserve">• </w:t>
      </w:r>
      <w:r>
        <w:rPr>
          <w:rFonts w:ascii="DM Sans" w:hAnsi="DM Sans" w:eastAsia="DM Sans"/>
          <w:b/>
          <w:i w:val="0"/>
          <w:color w:val="1A1A1A"/>
          <w:sz w:val="13"/>
        </w:rPr>
        <w:t xml:space="preserve">TCPA (47 U.S.C. §227; 47 CFR §64.1200): </w:t>
      </w:r>
      <w:r>
        <w:rPr>
          <w:rFonts w:ascii="DM Sans" w:hAnsi="DM Sans" w:eastAsia="DM Sans"/>
          <w:b w:val="0"/>
          <w:i w:val="0"/>
          <w:color w:val="1A1A1A"/>
          <w:sz w:val="13"/>
        </w:rPr>
        <w:t xml:space="preserve">Prior express written consent is required before telemarketing or advertising calls or texts that use an autodialer or artificial or prerecorded voice to wireless numbers. The FCC’s 2023 to 2024 “one to one” consent revision was vacated and is </w:t>
      </w:r>
      <w:r>
        <w:rPr>
          <w:rFonts w:ascii="DM Sans" w:hAnsi="DM Sans" w:eastAsia="DM Sans"/>
          <w:b/>
          <w:i w:val="0"/>
          <w:color w:val="1A1A1A"/>
          <w:sz w:val="13"/>
        </w:rPr>
        <w:t>not</w:t>
      </w:r>
      <w:r>
        <w:rPr>
          <w:rFonts w:ascii="DM Sans" w:hAnsi="DM Sans" w:eastAsia="DM Sans"/>
          <w:b w:val="0"/>
          <w:i w:val="0"/>
          <w:color w:val="1A1A1A"/>
          <w:sz w:val="13"/>
        </w:rPr>
        <w:t xml:space="preserve"> current law; the restored PEWC definition applies (FCC final rule effective 29 Aug 2025) [S15]. Honor opt outs; from </w:t>
      </w:r>
      <w:r>
        <w:rPr>
          <w:rFonts w:ascii="DM Sans" w:hAnsi="DM Sans" w:eastAsia="DM Sans"/>
          <w:b/>
          <w:i w:val="0"/>
          <w:color w:val="1A1A1A"/>
          <w:sz w:val="13"/>
        </w:rPr>
        <w:t>25 Nov 2026</w:t>
      </w:r>
      <w:r>
        <w:rPr>
          <w:rFonts w:ascii="DM Sans" w:hAnsi="DM Sans" w:eastAsia="DM Sans"/>
          <w:b w:val="0"/>
          <w:i w:val="0"/>
          <w:color w:val="1A1A1A"/>
          <w:sz w:val="13"/>
        </w:rPr>
        <w:t>, FCC rules allow callers to designate certain exclusive revocation methods if clearly disclosed; design the CRM accordingly [S16]. This OS uses human sent messages and is built without an autodialer or prerecorded calling; you remain responsible for consent, content, and suppression.</w:t>
      </w:r>
    </w:p>
    <w:p>
      <w:pPr>
        <w:ind w:left="173" w:hanging="173"/>
      </w:pPr>
      <w:r>
        <w:rPr>
          <w:rFonts w:ascii="DM Sans" w:hAnsi="DM Sans" w:eastAsia="DM Sans"/>
          <w:b w:val="0"/>
          <w:i w:val="0"/>
          <w:color w:val="C9A646"/>
          <w:sz w:val="15"/>
        </w:rPr>
        <w:t xml:space="preserve">• </w:t>
      </w:r>
      <w:r>
        <w:rPr>
          <w:rFonts w:ascii="DM Sans" w:hAnsi="DM Sans" w:eastAsia="DM Sans"/>
          <w:b/>
          <w:i w:val="0"/>
          <w:color w:val="1A1A1A"/>
          <w:sz w:val="13"/>
        </w:rPr>
        <w:t xml:space="preserve">Florida Telephone Solicitation Act, Fla. Stat. §501.059: </w:t>
      </w:r>
      <w:r>
        <w:rPr>
          <w:rFonts w:ascii="DM Sans" w:hAnsi="DM Sans" w:eastAsia="DM Sans"/>
          <w:b w:val="0"/>
          <w:i w:val="0"/>
          <w:color w:val="1A1A1A"/>
          <w:sz w:val="13"/>
        </w:rPr>
        <w:t xml:space="preserve">Where it applies (telephonic sales calls to </w:t>
      </w:r>
      <w:r>
        <w:rPr>
          <w:rFonts w:ascii="DM Sans" w:hAnsi="DM Sans" w:eastAsia="DM Sans"/>
          <w:b/>
          <w:i w:val="0"/>
          <w:color w:val="1A1A1A"/>
          <w:sz w:val="13"/>
        </w:rPr>
        <w:t>consumers</w:t>
      </w:r>
      <w:r>
        <w:rPr>
          <w:rFonts w:ascii="DM Sans" w:hAnsi="DM Sans" w:eastAsia="DM Sans"/>
          <w:b w:val="0"/>
          <w:i w:val="0"/>
          <w:color w:val="1A1A1A"/>
          <w:sz w:val="13"/>
        </w:rPr>
        <w:t xml:space="preserve"> for consumer goods or services or consumer credit), automated or recorded sales calls and texts generally need prior express written consent. Separately, do </w:t>
      </w:r>
      <w:r>
        <w:rPr>
          <w:rFonts w:ascii="DM Sans" w:hAnsi="DM Sans" w:eastAsia="DM Sans"/>
          <w:b/>
          <w:i w:val="0"/>
          <w:color w:val="1A1A1A"/>
          <w:sz w:val="13"/>
        </w:rPr>
        <w:t>not</w:t>
      </w:r>
      <w:r>
        <w:rPr>
          <w:rFonts w:ascii="DM Sans" w:hAnsi="DM Sans" w:eastAsia="DM Sans"/>
          <w:b w:val="0"/>
          <w:i w:val="0"/>
          <w:color w:val="1A1A1A"/>
          <w:sz w:val="13"/>
        </w:rPr>
        <w:t xml:space="preserve"> call, text, or voicemail any consumer, </w:t>
      </w:r>
      <w:r>
        <w:rPr>
          <w:rFonts w:ascii="DM Sans" w:hAnsi="DM Sans" w:eastAsia="DM Sans"/>
          <w:b/>
          <w:i w:val="0"/>
          <w:color w:val="1A1A1A"/>
          <w:sz w:val="13"/>
        </w:rPr>
        <w:t>business</w:t>
      </w:r>
      <w:r>
        <w:rPr>
          <w:rFonts w:ascii="DM Sans" w:hAnsi="DM Sans" w:eastAsia="DM Sans"/>
          <w:b w:val="0"/>
          <w:i w:val="0"/>
          <w:color w:val="1A1A1A"/>
          <w:sz w:val="13"/>
        </w:rPr>
        <w:t>, or donor who has asked not to be contacted (§501.059(5)). Transmit accurate caller ID. A call to a Florida area code is rebuttably presumed to reach a Florida resident or person in Florida (§501.059(8)(d)). B2B commercial financing outreach may fall outside the “telephonic sales call” definition; confirm with a Florida licensed attorney before texting or calling prospects [S17].</w:t>
      </w:r>
    </w:p>
    <w:p>
      <w:pPr>
        <w:ind w:left="173" w:hanging="173"/>
      </w:pPr>
      <w:r>
        <w:rPr>
          <w:rFonts w:ascii="DM Sans" w:hAnsi="DM Sans" w:eastAsia="DM Sans"/>
          <w:b w:val="0"/>
          <w:i w:val="0"/>
          <w:color w:val="C9A646"/>
          <w:sz w:val="15"/>
        </w:rPr>
        <w:t xml:space="preserve">• </w:t>
      </w:r>
      <w:r>
        <w:rPr>
          <w:rFonts w:ascii="DM Sans" w:hAnsi="DM Sans" w:eastAsia="DM Sans"/>
          <w:b/>
          <w:i w:val="0"/>
          <w:color w:val="1A1A1A"/>
          <w:sz w:val="13"/>
        </w:rPr>
        <w:t xml:space="preserve">CAN-SPAM (15 U.S.C. §7704): </w:t>
      </w:r>
      <w:r>
        <w:rPr>
          <w:rFonts w:ascii="DM Sans" w:hAnsi="DM Sans" w:eastAsia="DM Sans"/>
          <w:b w:val="0"/>
          <w:i w:val="0"/>
          <w:color w:val="1A1A1A"/>
          <w:sz w:val="13"/>
        </w:rPr>
        <w:t>applies to commercial email, including to businesses: truthful headers and subject lines, a clear ad notice, a valid physical postal address, and a working opt out honored within 10 business days [S19].</w:t>
      </w:r>
    </w:p>
    <w:p>
      <w:pPr>
        <w:ind w:left="173" w:hanging="173"/>
      </w:pPr>
      <w:r>
        <w:rPr>
          <w:rFonts w:ascii="DM Sans" w:hAnsi="DM Sans" w:eastAsia="DM Sans"/>
          <w:b w:val="0"/>
          <w:i w:val="0"/>
          <w:color w:val="C9A646"/>
          <w:sz w:val="15"/>
        </w:rPr>
        <w:t xml:space="preserve">• </w:t>
      </w:r>
      <w:r>
        <w:rPr>
          <w:rFonts w:ascii="DM Sans" w:hAnsi="DM Sans" w:eastAsia="DM Sans"/>
          <w:b/>
          <w:i w:val="0"/>
          <w:color w:val="1A1A1A"/>
          <w:sz w:val="13"/>
        </w:rPr>
        <w:t xml:space="preserve">Florida Commercial Financing Disclosure Law, Fla. Stat. §§559.961 to 559.9615: </w:t>
      </w:r>
      <w:r>
        <w:rPr>
          <w:rFonts w:ascii="DM Sans" w:hAnsi="DM Sans" w:eastAsia="DM Sans"/>
          <w:b w:val="0"/>
          <w:i w:val="0"/>
          <w:color w:val="1A1A1A"/>
          <w:sz w:val="13"/>
        </w:rPr>
        <w:t xml:space="preserve">Applies to covered commercial financing transactions of </w:t>
      </w:r>
      <w:r>
        <w:rPr>
          <w:rFonts w:ascii="DM Sans" w:hAnsi="DM Sans" w:eastAsia="DM Sans"/>
          <w:b/>
          <w:i w:val="0"/>
          <w:color w:val="1A1A1A"/>
          <w:sz w:val="13"/>
        </w:rPr>
        <w:t>$500,000 or less</w:t>
      </w:r>
      <w:r>
        <w:rPr>
          <w:rFonts w:ascii="DM Sans" w:hAnsi="DM Sans" w:eastAsia="DM Sans"/>
          <w:b w:val="0"/>
          <w:i w:val="0"/>
          <w:color w:val="1A1A1A"/>
          <w:sz w:val="13"/>
        </w:rPr>
        <w:t xml:space="preserve"> consummated on or after </w:t>
      </w:r>
      <w:r>
        <w:rPr>
          <w:rFonts w:ascii="DM Sans" w:hAnsi="DM Sans" w:eastAsia="DM Sans"/>
          <w:b/>
          <w:i w:val="0"/>
          <w:color w:val="1A1A1A"/>
          <w:sz w:val="13"/>
        </w:rPr>
        <w:t>1 Jan 2024</w:t>
      </w:r>
      <w:r>
        <w:rPr>
          <w:rFonts w:ascii="DM Sans" w:hAnsi="DM Sans" w:eastAsia="DM Sans"/>
          <w:b w:val="0"/>
          <w:i w:val="0"/>
          <w:color w:val="1A1A1A"/>
          <w:sz w:val="13"/>
        </w:rPr>
        <w:t xml:space="preserve">, subject to listed exemptions (including providers with 5 or fewer Florida transactions in a 12 month period, and transactions over $500,000). </w:t>
      </w:r>
      <w:r>
        <w:rPr>
          <w:rFonts w:ascii="DM Sans" w:hAnsi="DM Sans" w:eastAsia="DM Sans"/>
          <w:b/>
          <w:i w:val="0"/>
          <w:color w:val="1A1A1A"/>
          <w:sz w:val="13"/>
        </w:rPr>
        <w:t>Providers</w:t>
      </w:r>
      <w:r>
        <w:rPr>
          <w:rFonts w:ascii="DM Sans" w:hAnsi="DM Sans" w:eastAsia="DM Sans"/>
          <w:b w:val="0"/>
          <w:i w:val="0"/>
          <w:color w:val="1A1A1A"/>
          <w:sz w:val="13"/>
        </w:rPr>
        <w:t xml:space="preserve"> must give written cost disclosures (§559.9613). </w:t>
      </w:r>
      <w:r>
        <w:rPr>
          <w:rFonts w:ascii="DM Sans" w:hAnsi="DM Sans" w:eastAsia="DM Sans"/>
          <w:b/>
          <w:i w:val="0"/>
          <w:color w:val="1A1A1A"/>
          <w:sz w:val="13"/>
        </w:rPr>
        <w:t>Brokers</w:t>
      </w:r>
      <w:r>
        <w:rPr>
          <w:rFonts w:ascii="DM Sans" w:hAnsi="DM Sans" w:eastAsia="DM Sans"/>
          <w:b w:val="0"/>
          <w:i w:val="0"/>
          <w:color w:val="1A1A1A"/>
          <w:sz w:val="13"/>
        </w:rPr>
        <w:t xml:space="preserve"> may not charge advance fees for brokering and must show their actual business address and telephone number in advertisements (§559.9614). Confirm whether your products and volume are in scope with a Florida licensed attorney [S18].</w:t>
      </w:r>
    </w:p>
    <w:p>
      <w:pPr>
        <w:ind w:left="173" w:hanging="173"/>
      </w:pPr>
      <w:r>
        <w:rPr>
          <w:rFonts w:ascii="DM Sans" w:hAnsi="DM Sans" w:eastAsia="DM Sans"/>
          <w:b w:val="0"/>
          <w:i w:val="0"/>
          <w:color w:val="C9A646"/>
          <w:sz w:val="15"/>
        </w:rPr>
        <w:t xml:space="preserve">• </w:t>
      </w:r>
      <w:r>
        <w:rPr>
          <w:rFonts w:ascii="DM Sans" w:hAnsi="DM Sans" w:eastAsia="DM Sans"/>
          <w:b/>
          <w:i w:val="0"/>
          <w:color w:val="1A1A1A"/>
          <w:sz w:val="13"/>
        </w:rPr>
        <w:t xml:space="preserve">Google Maps Platform Terms §3.2.3 and Places Service Specific Terms: </w:t>
      </w:r>
      <w:r>
        <w:rPr>
          <w:rFonts w:ascii="DM Sans" w:hAnsi="DM Sans" w:eastAsia="DM Sans"/>
          <w:b w:val="0"/>
          <w:i w:val="0"/>
          <w:color w:val="1A1A1A"/>
          <w:sz w:val="13"/>
        </w:rPr>
        <w:t xml:space="preserve">No scraping; no copying or saving business names or addresses from Google Maps Content; place IDs may be stored; latitude and longitude may be cached up to 30 consecutive calendar days then deleted; Google Maps Content must not be used to train AI/ML models. §3.2.3(d) also restricts using Maps Core Services in a listings or directory service or to create or augment an advertising product; the Lead Finder is configured to store </w:t>
      </w:r>
      <w:r>
        <w:rPr>
          <w:rFonts w:ascii="DM Sans" w:hAnsi="DM Sans" w:eastAsia="DM Sans"/>
          <w:b/>
          <w:i w:val="0"/>
          <w:color w:val="1A1A1A"/>
          <w:sz w:val="13"/>
        </w:rPr>
        <w:t>place IDs only</w:t>
      </w:r>
      <w:r>
        <w:rPr>
          <w:rFonts w:ascii="DM Sans" w:hAnsi="DM Sans" w:eastAsia="DM Sans"/>
          <w:b w:val="0"/>
          <w:i w:val="0"/>
          <w:color w:val="1A1A1A"/>
          <w:sz w:val="13"/>
        </w:rPr>
        <w:t xml:space="preserve">, refresh details live with required attribution, and </w:t>
      </w:r>
      <w:r>
        <w:rPr>
          <w:rFonts w:ascii="DM Sans" w:hAnsi="DM Sans" w:eastAsia="DM Sans"/>
          <w:b/>
          <w:i w:val="0"/>
          <w:color w:val="1A1A1A"/>
          <w:sz w:val="13"/>
        </w:rPr>
        <w:t>not</w:t>
      </w:r>
      <w:r>
        <w:rPr>
          <w:rFonts w:ascii="DM Sans" w:hAnsi="DM Sans" w:eastAsia="DM Sans"/>
          <w:b w:val="0"/>
          <w:i w:val="0"/>
          <w:color w:val="1A1A1A"/>
          <w:sz w:val="13"/>
        </w:rPr>
        <w:t xml:space="preserve"> build a permanent marketing directory from Google content. You must accept Google’s Terms on </w:t>
      </w:r>
      <w:r>
        <w:rPr>
          <w:rFonts w:ascii="DM Sans" w:hAnsi="DM Sans" w:eastAsia="DM Sans"/>
          <w:b/>
          <w:i w:val="0"/>
          <w:color w:val="1A1A1A"/>
          <w:sz w:val="13"/>
        </w:rPr>
        <w:t>your</w:t>
      </w:r>
      <w:r>
        <w:rPr>
          <w:rFonts w:ascii="DM Sans" w:hAnsi="DM Sans" w:eastAsia="DM Sans"/>
          <w:b w:val="0"/>
          <w:i w:val="0"/>
          <w:color w:val="1A1A1A"/>
          <w:sz w:val="13"/>
        </w:rPr>
        <w:t xml:space="preserve"> Google Cloud account [S4, S5, S6].</w:t>
      </w:r>
    </w:p>
    <w:p>
      <w:pPr>
        <w:spacing w:after="0" w:before="20"/>
      </w:pPr>
      <w:r>
        <w:rPr>
          <w:rFonts w:ascii="DM Sans" w:hAnsi="DM Sans" w:eastAsia="DM Sans"/>
          <w:b w:val="0"/>
          <w:i/>
          <w:color w:val="1A1A1A"/>
          <w:sz w:val="13"/>
        </w:rPr>
        <w:t xml:space="preserve">The OS includes consent capture fields, opt out and suppression flags, and human sent message flows. </w:t>
      </w:r>
      <w:r>
        <w:rPr>
          <w:rFonts w:ascii="DM Sans" w:hAnsi="DM Sans" w:eastAsia="DM Sans"/>
          <w:b/>
          <w:i/>
          <w:color w:val="1A1A1A"/>
          <w:sz w:val="13"/>
        </w:rPr>
        <w:t>You</w:t>
      </w:r>
      <w:r>
        <w:rPr>
          <w:rFonts w:ascii="DM Sans" w:hAnsi="DM Sans" w:eastAsia="DM Sans"/>
          <w:b w:val="0"/>
          <w:i/>
          <w:color w:val="1A1A1A"/>
          <w:sz w:val="13"/>
        </w:rPr>
        <w:t xml:space="preserve"> remain solely responsible for how you use it, including consent, do not call and do not contact checks, CAN-SPAM, TCPA, FTSA, Florida CFDL broker rules, Google, Twilio and Voyage terms, and funder disclosures. NEXORA Technologies Corp. is a technology vendor, </w:t>
      </w:r>
      <w:r>
        <w:rPr>
          <w:rFonts w:ascii="DM Sans" w:hAnsi="DM Sans" w:eastAsia="DM Sans"/>
          <w:b/>
          <w:i/>
          <w:color w:val="1A1A1A"/>
          <w:sz w:val="13"/>
        </w:rPr>
        <w:t>not a law firm, lender, or commercial financing broker</w:t>
      </w:r>
      <w:r>
        <w:rPr>
          <w:rFonts w:ascii="DM Sans" w:hAnsi="DM Sans" w:eastAsia="DM Sans"/>
          <w:b w:val="0"/>
          <w:i/>
          <w:color w:val="1A1A1A"/>
          <w:sz w:val="13"/>
        </w:rPr>
        <w:t xml:space="preserve">, and does not provide legal advice. Confirm your outreach and disclosure program with a </w:t>
      </w:r>
      <w:r>
        <w:rPr>
          <w:rFonts w:ascii="DM Sans" w:hAnsi="DM Sans" w:eastAsia="DM Sans"/>
          <w:b/>
          <w:i/>
          <w:color w:val="1A1A1A"/>
          <w:sz w:val="13"/>
        </w:rPr>
        <w:t>Florida licensed attorney</w:t>
      </w:r>
      <w:r>
        <w:rPr>
          <w:rFonts w:ascii="DM Sans" w:hAnsi="DM Sans" w:eastAsia="DM Sans"/>
          <w:b w:val="0"/>
          <w:i/>
          <w:color w:val="1A1A1A"/>
          <w:sz w:val="13"/>
        </w:rPr>
        <w:t xml:space="preserve"> before launch. This sheet is general information only.</w:t>
      </w:r>
    </w:p>
    <w:p>
      <w:pPr>
        <w:spacing w:before="70" w:after="30"/>
        <w:pBdr>
          <w:bottom w:val="single" w:sz="6" w:color="C9A646" w:space="1"/>
        </w:pBdr>
      </w:pPr>
      <w:r>
        <w:rPr>
          <w:rFonts w:ascii="Cormorant Garamond" w:hAnsi="Cormorant Garamond" w:eastAsia="Cormorant Garamond"/>
          <w:b/>
          <w:i w:val="0"/>
          <w:color w:val="C9A646"/>
          <w:sz w:val="22"/>
        </w:rPr>
        <w:t xml:space="preserve">08  </w:t>
      </w:r>
      <w:r>
        <w:rPr>
          <w:rFonts w:ascii="Cormorant Garamond" w:hAnsi="Cormorant Garamond" w:eastAsia="Cormorant Garamond"/>
          <w:b/>
          <w:i w:val="0"/>
          <w:color w:val="070707"/>
          <w:sz w:val="19"/>
        </w:rPr>
        <w:t>YOUR NEXT STEP</w:t>
      </w:r>
    </w:p>
    <w:tbl>
      <w:tblPr>
        <w:tblW w:type="auto" w:w="0"/>
        <w:tblLayout w:type="fixed"/>
        <w:tblLook w:firstColumn="1" w:firstRow="1" w:lastColumn="0" w:lastRow="0" w:noHBand="0" w:noVBand="1" w:val="04A0"/>
        <w:tblBorders>
          <w:top w:val="single" w:sz="8" w:color="C9A646"/>
          <w:left w:val="single" w:sz="8" w:color="C9A646"/>
          <w:bottom w:val="single" w:sz="8" w:color="C9A646"/>
          <w:right w:val="single" w:sz="8" w:color="C9A646"/>
          <w:insideH w:val="nil"/>
          <w:insideV w:val="nil"/>
        </w:tblBorders>
        <w:tblCellMar>
          <w:top w:w="70" w:type="dxa"/>
          <w:left w:w="140" w:type="dxa"/>
          <w:bottom w:w="70" w:type="dxa"/>
          <w:right w:w="140" w:type="dxa"/>
        </w:tblCellMar>
        <w:tblLayout w:type="fixed"/>
      </w:tblPr>
      <w:tblGrid>
        <w:gridCol w:w="10800"/>
      </w:tblGrid>
      <w:tr>
        <w:tc>
          <w:tcPr>
            <w:tcW w:type="dxa" w:w="10800"/>
            <w:shd w:val="clear" w:color="auto" w:fill="FAF7EE"/>
          </w:tcPr>
          <w:p>
            <w:r/>
            <w:r>
              <w:rPr>
                <w:rFonts w:ascii="DM Sans" w:hAnsi="DM Sans" w:eastAsia="DM Sans"/>
                <w:b/>
                <w:i w:val="0"/>
                <w:color w:val="1A1A1A"/>
                <w:sz w:val="15"/>
              </w:rPr>
              <w:t xml:space="preserve">Book a 30 minute discovery call. </w:t>
            </w:r>
            <w:r>
              <w:rPr>
                <w:rFonts w:ascii="DM Sans" w:hAnsi="DM Sans" w:eastAsia="DM Sans"/>
                <w:b w:val="0"/>
                <w:i w:val="0"/>
                <w:color w:val="1A1A1A"/>
                <w:sz w:val="15"/>
              </w:rPr>
              <w:t>We confirm your products, funder relationships and target Florida counties, then send a fixed scope Statement of Work with your final tier price for signature. No payment is requested until both sides sign the scope.</w:t>
            </w:r>
          </w:p>
          <w:p>
            <w:r>
              <w:rPr>
                <w:rFonts w:ascii="Cormorant Garamond" w:hAnsi="Cormorant Garamond" w:eastAsia="Cormorant Garamond"/>
                <w:b/>
                <w:i w:val="0"/>
                <w:color w:val="070707"/>
                <w:sz w:val="22"/>
              </w:rPr>
              <w:t>NEXORA Growth Team</w:t>
            </w:r>
            <w:r>
              <w:rPr>
                <w:rFonts w:ascii="DM Sans" w:hAnsi="DM Sans" w:eastAsia="DM Sans"/>
                <w:b w:val="0"/>
                <w:i w:val="0"/>
                <w:color w:val="5A5550"/>
                <w:sz w:val="14"/>
              </w:rPr>
              <w:t xml:space="preserve">   NEXORA Technologies Corp  |  Calgary, Alberta  |  nexorayyc.io</w:t>
            </w:r>
          </w:p>
        </w:tc>
      </w:tr>
    </w:tbl>
    <w:p>
      <w:pPr>
        <w:widowControl w:val="0"/>
        <w:spacing w:after="0" w:before="40"/>
      </w:pPr>
      <w:r>
        <w:rPr>
          <w:rFonts w:ascii="DM Sans" w:hAnsi="DM Sans" w:eastAsia="DM Sans"/>
          <w:b w:val="0"/>
          <w:i w:val="0"/>
          <w:color w:val="5A5550"/>
          <w:sz w:val="11"/>
        </w:rPr>
        <w:t>Sources, all checked Oct 26, 2026: [S1] docs.voyageai.com/docs/pricing  [S2] mongodb.com/pricing  [S3] developers.google.com/maps/billing-and-pricing/pricing  [S4] cloud.google.com/maps-platform/terms (s. 3.2.3)  [S5] developers.google.com/maps/documentation/places/web-service/policies  [S6] cloud.google.com/maps-platform/terms/maps-service-terms (s. 14.3)  [S7] vercel.com/pricing  [S8] twilio.com/en-us/sms/pricing/us  [S9] elitefunders.com/resources/business-loan-broker-commission (industry ranges; SBA and equipment % UNKNOWN, 13 CFR 103.5)  [S10] gohighlevel.com/pricing  [S11] legal.hubspot.com/hubspot-product-and-services-catalog/products  [S12] salesforce.com/sales/pricing  [S13] lendsaas.com/pricing (not found), lendflow.com/pricing (no figures), centrexsoftware.com (no price list)  [S14] loanleads.io/mca-leads/pricing  [S15] federalregister.gov/d/2025-16641  [S16] federalregister.gov/d/2026-21821  [S17] flsenate.gov/Laws/Statutes/2026/501.059  [S18] flsenate.gov/Laws/Statutes/2026 (§§559.961 to 559.9615)  [S19] law.cornell.edu/uscode/text/15/7704. Not affiliated with any vendor named.</w:t>
      </w:r>
    </w:p>
    <w:sectPr w:rsidR="00FC693F" w:rsidRPr="0006063C" w:rsidSect="00034616">
      <w:pgSz w:w="12240" w:h="15840"/>
      <w:pgMar w:top="432" w:right="720" w:bottom="403"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40" w:lineRule="auto"/>
    </w:pPr>
    <w:rPr>
      <w:rFonts w:ascii="DM Sans" w:hAnsi="DM Sans" w:eastAsia="DM Sans"/>
      <w:sz w:val="15"/>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