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40"/>
        <w:jc w:val="center"/>
      </w:pPr>
      <w:r>
        <w:rPr>
          <w:rFonts w:ascii="Segoe UI Semibold" w:hAnsi="Segoe UI Semibold"/>
          <w:b/>
          <w:color w:val="005F73"/>
          <w:sz w:val="48"/>
        </w:rPr>
        <w:t>DEEP LEARNING COMPREHENSIVE STUDY NOTES</w:t>
      </w:r>
    </w:p>
    <w:p>
      <w:pPr>
        <w:spacing w:after="480"/>
        <w:jc w:val="center"/>
      </w:pPr>
      <w:r>
        <w:rPr>
          <w:rFonts w:ascii="Segoe UI" w:hAnsi="Segoe UI"/>
          <w:color w:val="6C757D"/>
          <w:sz w:val="28"/>
        </w:rPr>
        <w:t>Core Architectures, Mathematics, and Practical Fundamentals</w:t>
      </w:r>
    </w:p>
    <w:p>
      <w:pPr>
        <w:spacing w:after="240"/>
      </w:pPr>
    </w:p>
    <w:p>
      <w:pPr>
        <w:keepNext/>
        <w:spacing w:before="360" w:after="120"/>
      </w:pPr>
      <w:r>
        <w:rPr>
          <w:rFonts w:ascii="Segoe UI Semibold" w:hAnsi="Segoe UI Semibold"/>
          <w:b/>
          <w:color w:val="005F73"/>
          <w:sz w:val="36"/>
        </w:rPr>
        <w:t>Module 1: Foundations of Deep Learning</w:t>
      </w:r>
    </w:p>
    <w:p>
      <w:pPr>
        <w:spacing w:after="120" w:line="276" w:lineRule="auto"/>
      </w:pPr>
      <w:r>
        <w:rPr>
          <w:rFonts w:ascii="Segoe UI" w:hAnsi="Segoe UI"/>
          <w:b w:val="0"/>
          <w:sz w:val="22"/>
        </w:rPr>
        <w:t>Deep learning models mimic human brains using layered networks to process data, optimize parameters, and extract complex high-level representations feature-by-feature.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005F73"/>
          <w:sz w:val="28"/>
        </w:rPr>
        <w:t>Mathematical Pillars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</w:rPr>
        <w:t xml:space="preserve">Linear Algebra: </w:t>
      </w:r>
      <w:r>
        <w:rPr>
          <w:rFonts w:ascii="Segoe UI" w:hAnsi="Segoe UI"/>
        </w:rPr>
        <w:t xml:space="preserve"> Data patterns organized into scalar, vector, matrix, or multi-dimensional grid formats.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</w:rPr>
        <w:t xml:space="preserve">Probability: </w:t>
      </w:r>
      <w:r>
        <w:rPr>
          <w:rFonts w:ascii="Segoe UI" w:hAnsi="Segoe UI"/>
        </w:rPr>
        <w:t xml:space="preserve"> Quantifies error thresholds via continuous random variable metrics.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</w:rPr>
        <w:t xml:space="preserve">Calculus (Gradients): </w:t>
      </w:r>
      <w:r>
        <w:rPr>
          <w:rFonts w:ascii="Segoe UI" w:hAnsi="Segoe UI"/>
        </w:rPr>
        <w:t xml:space="preserve"> Minimizes target loss through direction-based step optimization.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005F73"/>
          <w:sz w:val="28"/>
        </w:rPr>
        <w:t>Neural Components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</w:rPr>
        <w:t xml:space="preserve">Artificial Neurons: </w:t>
      </w:r>
      <w:r>
        <w:rPr>
          <w:rFonts w:ascii="Segoe UI" w:hAnsi="Segoe UI"/>
        </w:rPr>
        <w:t xml:space="preserve"> Multi-input nodes parsing weighted features through non-linear operations.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</w:rPr>
        <w:t xml:space="preserve">Activation Functions: </w:t>
      </w:r>
      <w:r>
        <w:rPr>
          <w:rFonts w:ascii="Segoe UI" w:hAnsi="Segoe UI"/>
        </w:rPr>
        <w:t xml:space="preserve"> Normalizes step inputs. Standard choices include ReLU, Sigmoid, and Tanh formulas.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6"/>
            <w:tcBorders>
              <w:top w:val="none"/>
              <w:left w:val="single" w:sz="24" w:space="0" w:color="005F73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i/>
                <w:color w:val="2B2D42"/>
                <w:sz w:val="21"/>
              </w:rPr>
              <w:t>Formula Focus: The Rectified Linear Unit (ReLU) calculates f(x) = max(0, x). It prevents vanishing gradient bottlenecks during deep network backpropagation steps.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Segoe UI Semibold" w:hAnsi="Segoe UI Semibold"/>
          <w:b/>
          <w:color w:val="005F73"/>
          <w:sz w:val="36"/>
        </w:rPr>
        <w:t>Module 2: Network Architectures &amp; Optimization</w:t>
      </w:r>
    </w:p>
    <w:p>
      <w:pPr>
        <w:spacing w:after="120" w:line="276" w:lineRule="auto"/>
      </w:pPr>
      <w:r>
        <w:rPr>
          <w:rFonts w:ascii="Segoe UI" w:hAnsi="Segoe UI"/>
          <w:b w:val="0"/>
          <w:sz w:val="22"/>
        </w:rPr>
        <w:t>Configuring networks demands a structural understanding of multi-layered training mechanics, parameter updates, and regularized capacity handling.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005F73"/>
          <w:sz w:val="28"/>
        </w:rPr>
        <w:t>Feedforward &amp; Error Propagations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</w:rPr>
        <w:t xml:space="preserve">Forward Pass: </w:t>
      </w:r>
      <w:r>
        <w:rPr>
          <w:rFonts w:ascii="Segoe UI" w:hAnsi="Segoe UI"/>
        </w:rPr>
        <w:t xml:space="preserve"> Multi-layer perceptrons (MLP) mapping dense connectivity networks forward.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</w:rPr>
        <w:t xml:space="preserve">Backpropagation: </w:t>
      </w:r>
      <w:r>
        <w:rPr>
          <w:rFonts w:ascii="Segoe UI" w:hAnsi="Segoe UI"/>
        </w:rPr>
        <w:t xml:space="preserve"> Calculates partial derivative chains backwards to pinpoint edge mistakes.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005F73"/>
          <w:sz w:val="28"/>
        </w:rPr>
        <w:t>Regularization &amp; Loss Control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</w:rPr>
        <w:t xml:space="preserve">Dropout: </w:t>
      </w:r>
      <w:r>
        <w:rPr>
          <w:rFonts w:ascii="Segoe UI" w:hAnsi="Segoe UI"/>
        </w:rPr>
        <w:t xml:space="preserve"> Deactivates random node configurations per epoch to disrupt spatial dependencies.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</w:rPr>
        <w:t xml:space="preserve">L1/L2 Weight Decay: </w:t>
      </w:r>
      <w:r>
        <w:rPr>
          <w:rFonts w:ascii="Segoe UI" w:hAnsi="Segoe UI"/>
        </w:rPr>
        <w:t xml:space="preserve"> Appends penalization constraints directly onto structural weight norms.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005F73"/>
          <w:sz w:val="36"/>
        </w:rPr>
        <w:t>Module 3: Computer Vision &amp; Convolutional Networks</w:t>
      </w:r>
    </w:p>
    <w:p>
      <w:pPr>
        <w:spacing w:after="120" w:line="276" w:lineRule="auto"/>
      </w:pPr>
      <w:r>
        <w:rPr>
          <w:rFonts w:ascii="Segoe UI" w:hAnsi="Segoe UI"/>
          <w:b w:val="0"/>
          <w:sz w:val="22"/>
        </w:rPr>
        <w:t>Convolutional Neural Networks (CNNs) drastically reduce parameter overhead by deploying spatial weight structures directly across complex multi-channel matrix arrays.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005F73"/>
          <w:sz w:val="28"/>
        </w:rPr>
        <w:t>Core CNN Operations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</w:rPr>
        <w:t xml:space="preserve">Convolutional Layers: </w:t>
      </w:r>
      <w:r>
        <w:rPr>
          <w:rFonts w:ascii="Segoe UI" w:hAnsi="Segoe UI"/>
        </w:rPr>
        <w:t xml:space="preserve"> Sliding structural feature kernels that register localized regional features.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</w:rPr>
        <w:t xml:space="preserve">Pooling (Max/Average): </w:t>
      </w:r>
      <w:r>
        <w:rPr>
          <w:rFonts w:ascii="Segoe UI" w:hAnsi="Segoe UI"/>
        </w:rPr>
        <w:t xml:space="preserve"> Sub-samples spatial grids to isolate prominent signals while shrinking memory footprints.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</w:rPr>
        <w:t xml:space="preserve">Residual Connections (ResNet): </w:t>
      </w:r>
      <w:r>
        <w:rPr>
          <w:rFonts w:ascii="Segoe UI" w:hAnsi="Segoe UI"/>
        </w:rPr>
        <w:t xml:space="preserve"> Bypasses structural layers to preserve foundational input features across massive deeper depths.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005F73"/>
          <w:sz w:val="36"/>
        </w:rPr>
        <w:t>Module 4: Sequence Learning &amp; Language Systems</w:t>
      </w:r>
    </w:p>
    <w:p>
      <w:pPr>
        <w:spacing w:after="120" w:line="276" w:lineRule="auto"/>
      </w:pPr>
      <w:r>
        <w:rPr>
          <w:rFonts w:ascii="Segoe UI" w:hAnsi="Segoe UI"/>
          <w:b w:val="0"/>
          <w:sz w:val="22"/>
        </w:rPr>
        <w:t>Handling real-time dynamic temporal variables requires structural mechanisms capable of retaining long-range dependencies without structural data decay.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005F73"/>
          <w:sz w:val="28"/>
        </w:rPr>
        <w:t>Sequential Models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</w:rPr>
        <w:t xml:space="preserve">Recurrent Neural Networks (RNN): </w:t>
      </w:r>
      <w:r>
        <w:rPr>
          <w:rFonts w:ascii="Segoe UI" w:hAnsi="Segoe UI"/>
        </w:rPr>
        <w:t xml:space="preserve"> Loops back feedback loops to continuously parse multi-frame state data.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</w:rPr>
        <w:t xml:space="preserve">LSTM / GRU: </w:t>
      </w:r>
      <w:r>
        <w:rPr>
          <w:rFonts w:ascii="Segoe UI" w:hAnsi="Segoe UI"/>
        </w:rPr>
        <w:t xml:space="preserve"> Uses custom gating cells to safely preserve relevant context over long steps.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</w:rPr>
        <w:t xml:space="preserve">Transformers: </w:t>
      </w:r>
      <w:r>
        <w:rPr>
          <w:rFonts w:ascii="Segoe UI" w:hAnsi="Segoe UI"/>
        </w:rPr>
        <w:t xml:space="preserve"> Ditches loops to evaluate parallel sequences globally via attention-weight contexts.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B2D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