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b/>
          <w:bCs/>
          <w:color w:val="0B4A47"/>
          <w:sz w:val="56"/>
          <w:szCs w:val="56"/>
        </w:rPr>
        <w:t xml:space="preserve">SOCVault</w:t>
      </w:r>
    </w:p>
    <w:p>
      <w:pPr>
        <w:spacing w:after="300"/>
      </w:pPr>
      <w:r>
        <w:rPr>
          <w:b/>
          <w:bCs/>
          <w:color w:val="1E8E4F"/>
          <w:sz w:val="32"/>
          <w:szCs w:val="32"/>
        </w:rPr>
        <w:t xml:space="preserve">Content &amp; Keyword Guideline</w:t>
      </w:r>
    </w:p>
    <w:p>
      <w:pPr>
        <w:spacing w:after="60"/>
      </w:pPr>
      <w:r>
        <w:rPr>
          <w:color w:val="595959"/>
          <w:sz w:val="21"/>
          <w:szCs w:val="21"/>
        </w:rPr>
        <w:t xml:space="preserve">Version 1.0  ·  June 2026  ·  Confidential — Internal Marketing &amp; SEO Reference</w:t>
      </w:r>
    </w:p>
    <w:p>
      <w:pPr>
        <w:spacing w:after="60"/>
      </w:pPr>
      <w:r>
        <w:rPr>
          <w:color w:val="595959"/>
          <w:sz w:val="21"/>
          <w:szCs w:val="21"/>
        </w:rPr>
        <w:t xml:space="preserve">Prepared for: SOCVault Ltd (England &amp; Wales)  ·  socvault.io</w:t>
      </w:r>
    </w:p>
    <w:p>
      <w:pPr>
        <w:spacing w:after="500"/>
      </w:pPr>
      <w:r>
        <w:rPr>
          <w:color w:val="595959"/>
          <w:sz w:val="21"/>
          <w:szCs w:val="21"/>
        </w:rPr>
        <w:t xml:space="preserve">Scope: brand keyword universe, content rules, on-page/off-page SEO, technical SEO, AEO, GEO and AIO parameters for the SOCVault marketing site, beginning with the primary landing page.</w:t>
      </w:r>
    </w:p>
    <w:p>
      <w:pPr>
        <w:pBdr>
          <w:bottom w:val="single" w:color="0B4A47" w:sz="6" w:space="1"/>
        </w:pBdr>
        <w:spacing w:after="240" w:before="80"/>
      </w:pPr>
    </w:p>
    <w:p>
      <w:pPr>
        <w:pStyle w:val="Heading1"/>
      </w:pPr>
      <w:r>
        <w:t xml:space="preserve">0. Purpose &amp; How to Use This Guide</w:t>
      </w:r>
    </w:p>
    <w:p>
      <w:pPr>
        <w:spacing w:after="160"/>
      </w:pPr>
      <w:r>
        <w:t xml:space="preserve">This guideline exists so that every page, blog post, partner listing, and off-page mention of SOCVault uses the same vocabulary, targets the same keyword intent, and is structured the way Google, Bing, and AI answer engines (ChatGPT, Perplexity, Gemini, Claude, Copilot) now read content. It is the SOCVault-specific counterpart to the general Google 2026 content guidance and the Mutex Systems keyword framework already in use across the group, adapted to SOCVault's product (a unified, AI-agentic cybersecurity platform that operates as a virtual CISO) and its target geographies.</w:t>
      </w:r>
    </w:p>
    <w:p>
      <w:pPr>
        <w:spacing w:after="160"/>
      </w:pPr>
      <w:r>
        <w:t xml:space="preserve">Apply this guide in order: confirm the keyword target for a page or section first (Section 4), then write to the content rules in Section 2, then implement the technical/schema requirements in Section 6 before publishing. Section 8 is the AEO/GEO/AIO checklist specifically for how SOCVault should be written to be quoted by AI assistants, not just ranked by search engines.</w:t>
      </w:r>
    </w:p>
    <w:p>
      <w:pPr>
        <w:pStyle w:val="Heading1"/>
      </w:pPr>
      <w:r>
        <w:t xml:space="preserve">1. Brand Positioning &amp; E-E-A-T Foundations</w:t>
      </w:r>
    </w:p>
    <w:p>
      <w:pPr>
        <w:pStyle w:val="Heading2"/>
      </w:pPr>
      <w:r>
        <w:t xml:space="preserve">1.1 One-sentence positioning</w:t>
      </w:r>
    </w:p>
    <w:p>
      <w:pPr>
        <w:spacing w:after="160"/>
      </w:pPr>
      <w:r>
        <w:t xml:space="preserve">SOCVault is a unified, AI-agentic cybersecurity platform: one system of record that runs continuous automated security operations across eight attack-surface layers, reasons over every finding the way a virtual CISO would, and converts raw technical risk into prioritised financial decisions and one-click remediation — without a human security team in the loop for routine work.</w:t>
      </w:r>
    </w:p>
    <w:p>
      <w:pPr>
        <w:pStyle w:val="Heading2"/>
      </w:pPr>
      <w:r>
        <w:t xml:space="preserve">1.2 What SOCVault replaces</w:t>
      </w:r>
    </w:p>
    <w:p>
      <w:pPr>
        <w:spacing w:after="160"/>
      </w:pPr>
      <w:r>
        <w:t xml:space="preserve">SOCVault is positioned against the function, not the headcount of the buyer. It replaces three things a growing organisation would otherwise have to buy separately: a fragmented stack of point-solution scanners, a retained security analyst or SOC, and a part-time or fractional CISO who translates findings into board-level decisions. SOCVault's AI agents perform that triage and translation work continuously, with a human approval gate retained for system-wide or high-impact actions.</w:t>
      </w:r>
    </w:p>
    <w:p>
      <w:pPr>
        <w:pStyle w:val="Heading2"/>
      </w:pPr>
      <w:r>
        <w:t xml:space="preserve">1.3 Audience</w:t>
      </w:r>
    </w:p>
    <w:p>
      <w:pPr>
        <w:pStyle w:val="ListParagraph"/>
        <w:numPr>
          <w:ilvl w:val="0"/>
          <w:numId w:val="2"/>
        </w:numPr>
        <w:spacing w:after="90"/>
      </w:pPr>
      <w:r>
        <w:t xml:space="preserve">Primary buyer: a founder, CEO, CFO, or Operations Director who needs continuous security oversight and board-ready risk reporting without hiring a full-time CISO or building an internal security function.</w:t>
      </w:r>
    </w:p>
    <w:p>
      <w:pPr>
        <w:pStyle w:val="ListParagraph"/>
        <w:numPr>
          <w:ilvl w:val="0"/>
          <w:numId w:val="2"/>
        </w:numPr>
        <w:spacing w:after="90"/>
      </w:pPr>
      <w:r>
        <w:t xml:space="preserve">Secondary buyer: an IT manager or technical lead consolidating a fragmented point-solution stack onto one platform, with AI agents handling routine triage and a human-in-the-loop gate for critical actions.</w:t>
      </w:r>
    </w:p>
    <w:p>
      <w:pPr>
        <w:pStyle w:val="ListParagraph"/>
        <w:numPr>
          <w:ilvl w:val="0"/>
          <w:numId w:val="2"/>
        </w:numPr>
        <w:spacing w:after="90"/>
      </w:pPr>
      <w:r>
        <w:t xml:space="preserve">Tertiary audience: MSPs and resellers evaluating SOCVault as a white-label or channel offering, including as an AI-augmented vCISO layer on top of their own service delivery.</w:t>
      </w:r>
    </w:p>
    <w:p>
      <w:pPr>
        <w:pStyle w:val="ListParagraph"/>
        <w:numPr>
          <w:ilvl w:val="0"/>
          <w:numId w:val="2"/>
        </w:numPr>
        <w:spacing w:after="90"/>
      </w:pPr>
      <w:r>
        <w:t xml:space="preserve">Non-commercial audience: students, academic researchers, and independent security testers — routed to a manual access-request flow rather than self-serve signup, since the platform requires a verified business or institutional email.</w:t>
      </w:r>
    </w:p>
    <w:p>
      <w:pPr>
        <w:pStyle w:val="Heading2"/>
      </w:pPr>
      <w:r>
        <w:t xml:space="preserve">1.4 E-E-A-T signals SOCVault must visibly demonstrate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8D6" w:sz="2"/>
              <w:left w:val="single" w:color="CBD8D6" w:sz="2"/>
              <w:bottom w:val="single" w:color="CBD8D6" w:sz="2"/>
              <w:right w:val="single" w:color="CBD8D6" w:sz="2"/>
            </w:tcBorders>
            <w:shd w:fill="0B4A47" w:val="clear"/>
            <w:tcMar>
              <w:top w:type="dxa" w:w="80"/>
              <w:left w:type="dxa" w:w="130"/>
              <w:bottom w:type="dxa" w:w="80"/>
              <w:right w:type="dxa" w:w="130"/>
            </w:tcMar>
            <w:vAlign w:val="center"/>
          </w:tcPr>
          <w:p>
            <w:r>
              <w:rPr>
                <w:b/>
                <w:bCs/>
                <w:color w:val="FFFFFF"/>
                <w:sz w:val="19"/>
                <w:szCs w:val="19"/>
              </w:rPr>
              <w:t xml:space="preserve">E-E-A-T Pillar</w:t>
            </w:r>
          </w:p>
        </w:tc>
        <w:tc>
          <w:tcPr>
            <w:tcW w:type="dxa" w:w="6360"/>
            <w:tcBorders>
              <w:top w:val="single" w:color="CBD8D6" w:sz="2"/>
              <w:left w:val="single" w:color="CBD8D6" w:sz="2"/>
              <w:bottom w:val="single" w:color="CBD8D6" w:sz="2"/>
              <w:right w:val="single" w:color="CBD8D6" w:sz="2"/>
            </w:tcBorders>
            <w:shd w:fill="0B4A47" w:val="clear"/>
            <w:tcMar>
              <w:top w:type="dxa" w:w="80"/>
              <w:left w:type="dxa" w:w="130"/>
              <w:bottom w:type="dxa" w:w="80"/>
              <w:right w:type="dxa" w:w="130"/>
            </w:tcMar>
            <w:vAlign w:val="center"/>
          </w:tcPr>
          <w:p>
            <w:r>
              <w:rPr>
                <w:b/>
                <w:bCs/>
                <w:color w:val="FFFFFF"/>
                <w:sz w:val="19"/>
                <w:szCs w:val="19"/>
              </w:rPr>
              <w:t xml:space="preserve">How SOCVault Demonstrates It On-Page</w:t>
            </w:r>
          </w:p>
        </w:tc>
      </w:tr>
      <w:tr>
        <w:tc>
          <w:tcPr>
            <w:tcW w:type="dxa" w:w="30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Experience</w:t>
            </w:r>
          </w:p>
        </w:tc>
        <w:tc>
          <w:tcPr>
            <w:tcW w:type="dxa" w:w="63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Describe the actual scanning workflow and real tool names (Nuclei, Wazuh, MobSF, ClamAV, YARA) rather than vague claims; show a real example finding-to-risk translation and a real example of an AI agent action with its human-approval gate.</w:t>
            </w:r>
          </w:p>
        </w:tc>
      </w:tr>
      <w:tr>
        <w:tc>
          <w:tcPr>
            <w:tcW w:type="dxa" w:w="30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Expertise</w:t>
            </w:r>
          </w:p>
        </w:tc>
        <w:tc>
          <w:tcPr>
            <w:tcW w:type="dxa" w:w="63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Name the specific frameworks covered (PCI-DSS 4.0, UK GDPR, ISO 27001:2022, SOC 2 Type II, Cyber Essentials Plus) and cite primary sources (IBM Cost of a Data Breach, Verizon DBIR, UK Gov Cyber Breaches Survey, Hiscox, ICO) for every statistic used.</w:t>
            </w:r>
          </w:p>
        </w:tc>
      </w:tr>
      <w:tr>
        <w:tc>
          <w:tcPr>
            <w:tcW w:type="dxa" w:w="30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Authoritativeness</w:t>
            </w:r>
          </w:p>
        </w:tc>
        <w:tc>
          <w:tcPr>
            <w:tcW w:type="dxa" w:w="63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State company facts plainly: SOCVault Ltd, incorporated England &amp; Wales; UK headquarters; engineering hub in Pakistan; regional presence across the Middle East, Africa, Europe, USA and Canada.</w:t>
            </w:r>
          </w:p>
        </w:tc>
      </w:tr>
      <w:tr>
        <w:tc>
          <w:tcPr>
            <w:tcW w:type="dxa" w:w="30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Trustworthiness</w:t>
            </w:r>
          </w:p>
        </w:tc>
        <w:tc>
          <w:tcPr>
            <w:tcW w:type="dxa" w:w="63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Publish Privacy Policy, Data Policy and User Policy as standalone, linkable pages; state plainly what data is collected during a free scan, how consent/domain-ownership is verified before any active test runs, and exactly which actions the AI agent is and is not permitted to take autonomously.</w:t>
            </w:r>
          </w:p>
        </w:tc>
      </w:tr>
    </w:tbl>
    <w:p>
      <w:pPr>
        <w:spacing w:after="200" w:before="60"/>
      </w:pPr>
      <w:r>
        <w:rPr>
          <w:i/>
          <w:iCs/>
          <w:color w:val="595959"/>
          <w:sz w:val="20"/>
          <w:szCs w:val="20"/>
        </w:rPr>
        <w:t xml:space="preserve">YMYL note: cybersecurity and financial-risk content is treated by Google as a sensitive category adjacent to YMYL (Your Money or Your Life) because it concerns business financial exposure. Every statistic must carry a source; every claim about "detecting" or "protecting" must be accurate to what the product currently does.</w:t>
      </w:r>
    </w:p>
    <w:p>
      <w:pPr>
        <w:pStyle w:val="Heading1"/>
      </w:pPr>
      <w:r>
        <w:t xml:space="preserve">2. Content Rules (Google 2026 / People-First Standard)</w:t>
      </w:r>
    </w:p>
    <w:p>
      <w:pPr>
        <w:pStyle w:val="Heading2"/>
      </w:pPr>
      <w:r>
        <w:t xml:space="preserve">2.1 Structure</w:t>
      </w:r>
    </w:p>
    <w:p>
      <w:pPr>
        <w:pStyle w:val="ListParagraph"/>
        <w:numPr>
          <w:ilvl w:val="0"/>
          <w:numId w:val="2"/>
        </w:numPr>
        <w:spacing w:after="90"/>
      </w:pPr>
      <w:r>
        <w:t xml:space="preserve">Exactly one H1 per page, containing the primary keyword (e.g. "Unified AI-Agentic Cybersecurity Platform").</w:t>
      </w:r>
    </w:p>
    <w:p>
      <w:pPr>
        <w:pStyle w:val="ListParagraph"/>
        <w:numPr>
          <w:ilvl w:val="0"/>
          <w:numId w:val="2"/>
        </w:numPr>
        <w:spacing w:after="90"/>
      </w:pPr>
      <w:r>
        <w:t xml:space="preserve">H2s break the page into the core subtopics a buyer actually asks about — problem, platform, layers, pricing, comparison, compliance, FAQ — each carrying a middle-tail keyword.</w:t>
      </w:r>
    </w:p>
    <w:p>
      <w:pPr>
        <w:pStyle w:val="ListParagraph"/>
        <w:numPr>
          <w:ilvl w:val="0"/>
          <w:numId w:val="2"/>
        </w:numPr>
        <w:spacing w:after="90"/>
      </w:pPr>
      <w:r>
        <w:t xml:space="preserve">H3s carry long-tail, question-style keywords and answer them directly in the first sentence beneath the heading (this is what AI answer engines lift verbatim).</w:t>
      </w:r>
    </w:p>
    <w:p>
      <w:pPr>
        <w:pStyle w:val="ListParagraph"/>
        <w:numPr>
          <w:ilvl w:val="0"/>
          <w:numId w:val="2"/>
        </w:numPr>
        <w:spacing w:after="90"/>
      </w:pPr>
      <w:r>
        <w:t xml:space="preserve">Every claim about cost, breach statistics, or competitor pricing is sourced inline or in a visible citation list — never asserted without attribution.</w:t>
      </w:r>
    </w:p>
    <w:p>
      <w:pPr>
        <w:pStyle w:val="Heading2"/>
      </w:pPr>
      <w:r>
        <w:t xml:space="preserve">2.2 Word count guidance</w:t>
      </w:r>
    </w:p>
    <w:p>
      <w:pPr>
        <w:pStyle w:val="ListParagraph"/>
        <w:numPr>
          <w:ilvl w:val="0"/>
          <w:numId w:val="2"/>
        </w:numPr>
        <w:spacing w:after="90"/>
      </w:pPr>
      <w:r>
        <w:t xml:space="preserve">The landing page, as a cornerstone/pillar asset, should run long-form (2,500–4,000 reader-visible words) because it is currently the only public page and must independently satisfy informational, commercial and transactional intent.</w:t>
      </w:r>
    </w:p>
    <w:p>
      <w:pPr>
        <w:pStyle w:val="ListParagraph"/>
        <w:numPr>
          <w:ilvl w:val="0"/>
          <w:numId w:val="2"/>
        </w:numPr>
        <w:spacing w:after="90"/>
      </w:pPr>
      <w:r>
        <w:t xml:space="preserve">Supporting pages (Privacy Policy, Data Policy, User Policy) are governed by legal completeness, not SEO word count.</w:t>
      </w:r>
    </w:p>
    <w:p>
      <w:pPr>
        <w:pStyle w:val="ListParagraph"/>
        <w:numPr>
          <w:ilvl w:val="0"/>
          <w:numId w:val="2"/>
        </w:numPr>
        <w:spacing w:after="90"/>
      </w:pPr>
      <w:r>
        <w:t xml:space="preserve">Quality over quantity always: no section is padded purely to hit a word target — see the page-section keyword map in Section 4.4 for what each section must actually accomplish.</w:t>
      </w:r>
    </w:p>
    <w:p>
      <w:pPr>
        <w:pStyle w:val="Heading2"/>
      </w:pPr>
      <w:r>
        <w:t xml:space="preserve">2.3 Voice &amp; tone</w:t>
      </w:r>
    </w:p>
    <w:p>
      <w:pPr>
        <w:pStyle w:val="ListParagraph"/>
        <w:numPr>
          <w:ilvl w:val="0"/>
          <w:numId w:val="2"/>
        </w:numPr>
        <w:spacing w:after="90"/>
      </w:pPr>
      <w:r>
        <w:t xml:space="preserve">Plain English first, technical term second: "An attacker can take over your customer login page (CVE-class: broken authentication)", not the reverse.</w:t>
      </w:r>
    </w:p>
    <w:p>
      <w:pPr>
        <w:pStyle w:val="ListParagraph"/>
        <w:numPr>
          <w:ilvl w:val="0"/>
          <w:numId w:val="2"/>
        </w:numPr>
        <w:spacing w:after="90"/>
      </w:pPr>
      <w:r>
        <w:t xml:space="preserve">Lead with business consequence, not technical severity — mirrors the product's own financial-risk-translation mechanic, so the marketing copy should sound like the product.</w:t>
      </w:r>
    </w:p>
    <w:p>
      <w:pPr>
        <w:pStyle w:val="ListParagraph"/>
        <w:numPr>
          <w:ilvl w:val="0"/>
          <w:numId w:val="2"/>
        </w:numPr>
        <w:spacing w:after="90"/>
      </w:pPr>
      <w:r>
        <w:t xml:space="preserve">No fear-mongering without a next step: every risk statement is paired with what SOCVault does about it in the same breath.</w:t>
      </w:r>
    </w:p>
    <w:p>
      <w:pPr>
        <w:pStyle w:val="ListParagraph"/>
        <w:numPr>
          <w:ilvl w:val="0"/>
          <w:numId w:val="2"/>
        </w:numPr>
        <w:spacing w:after="90"/>
      </w:pPr>
      <w:r>
        <w:t xml:space="preserve">No fabricated customer quotes, logos, or review scores. SOCVault is pre-revenue; use verifiable facts (incorporation, technology stack, frameworks supported, founder-stated roadmap) rather than invented social proof.</w:t>
      </w:r>
    </w:p>
    <w:p>
      <w:pPr>
        <w:pStyle w:val="Heading2"/>
      </w:pPr>
      <w:r>
        <w:t xml:space="preserve">2.4 Avoid</w:t>
      </w:r>
    </w:p>
    <w:p>
      <w:pPr>
        <w:pStyle w:val="ListParagraph"/>
        <w:numPr>
          <w:ilvl w:val="0"/>
          <w:numId w:val="2"/>
        </w:numPr>
        <w:spacing w:after="90"/>
      </w:pPr>
      <w:r>
        <w:t xml:space="preserve">Generic SaaS filler verbs: "leverage," "unlock," "seamless," "revolutionize," "empower," "robust" — replace with the literal mechanism (e.g. "scans," "translates," "flags," "contains").</w:t>
      </w:r>
    </w:p>
    <w:p>
      <w:pPr>
        <w:pStyle w:val="ListParagraph"/>
        <w:numPr>
          <w:ilvl w:val="0"/>
          <w:numId w:val="2"/>
        </w:numPr>
        <w:spacing w:after="90"/>
      </w:pPr>
      <w:r>
        <w:t xml:space="preserve">Unverifiable superlatives ("the world's best," "#1 platform") — use comparative, sourced claims instead ("93% cheaper than the equivalent point-solution stack").</w:t>
      </w:r>
    </w:p>
    <w:p>
      <w:pPr>
        <w:pStyle w:val="Heading1"/>
      </w:pPr>
      <w:r>
        <w:t xml:space="preserve">3. The Four Intent-Based Keyword Types</w:t>
      </w:r>
    </w:p>
    <w:p>
      <w:pPr>
        <w:spacing w:after="160"/>
      </w:pPr>
      <w:r>
        <w:t xml:space="preserve">Every keyword SOCVault targets is classified by where the searcher sits on the journey from curiosity to purchase. The landing page must satisfy all four within its sections; supporting blog content (Section 9) extends informational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960"/>
        <w:gridCol w:w="2200"/>
      </w:tblGrid>
      <w:tr>
        <w:trPr>
          <w:tblHeader/>
        </w:trPr>
        <w:tc>
          <w:tcPr>
            <w:tcW w:type="dxa" w:w="1600"/>
            <w:tcBorders>
              <w:top w:val="single" w:color="CBD8D6" w:sz="2"/>
              <w:left w:val="single" w:color="CBD8D6" w:sz="2"/>
              <w:bottom w:val="single" w:color="CBD8D6" w:sz="2"/>
              <w:right w:val="single" w:color="CBD8D6" w:sz="2"/>
            </w:tcBorders>
            <w:shd w:fill="0B4A47" w:val="clear"/>
            <w:tcMar>
              <w:top w:type="dxa" w:w="80"/>
              <w:left w:type="dxa" w:w="130"/>
              <w:bottom w:type="dxa" w:w="80"/>
              <w:right w:type="dxa" w:w="130"/>
            </w:tcMar>
            <w:vAlign w:val="center"/>
          </w:tcPr>
          <w:p>
            <w:r>
              <w:rPr>
                <w:b/>
                <w:bCs/>
                <w:color w:val="FFFFFF"/>
                <w:sz w:val="19"/>
                <w:szCs w:val="19"/>
              </w:rPr>
              <w:t xml:space="preserve">Intent</w:t>
            </w:r>
          </w:p>
        </w:tc>
        <w:tc>
          <w:tcPr>
            <w:tcW w:type="dxa" w:w="2600"/>
            <w:tcBorders>
              <w:top w:val="single" w:color="CBD8D6" w:sz="2"/>
              <w:left w:val="single" w:color="CBD8D6" w:sz="2"/>
              <w:bottom w:val="single" w:color="CBD8D6" w:sz="2"/>
              <w:right w:val="single" w:color="CBD8D6" w:sz="2"/>
            </w:tcBorders>
            <w:shd w:fill="0B4A47" w:val="clear"/>
            <w:tcMar>
              <w:top w:type="dxa" w:w="80"/>
              <w:left w:type="dxa" w:w="130"/>
              <w:bottom w:type="dxa" w:w="80"/>
              <w:right w:type="dxa" w:w="130"/>
            </w:tcMar>
            <w:vAlign w:val="center"/>
          </w:tcPr>
          <w:p>
            <w:r>
              <w:rPr>
                <w:b/>
                <w:bCs/>
                <w:color w:val="FFFFFF"/>
                <w:sz w:val="19"/>
                <w:szCs w:val="19"/>
              </w:rPr>
              <w:t xml:space="preserve">Searcher Is Asking</w:t>
            </w:r>
          </w:p>
        </w:tc>
        <w:tc>
          <w:tcPr>
            <w:tcW w:type="dxa" w:w="2960"/>
            <w:tcBorders>
              <w:top w:val="single" w:color="CBD8D6" w:sz="2"/>
              <w:left w:val="single" w:color="CBD8D6" w:sz="2"/>
              <w:bottom w:val="single" w:color="CBD8D6" w:sz="2"/>
              <w:right w:val="single" w:color="CBD8D6" w:sz="2"/>
            </w:tcBorders>
            <w:shd w:fill="0B4A47" w:val="clear"/>
            <w:tcMar>
              <w:top w:type="dxa" w:w="80"/>
              <w:left w:type="dxa" w:w="130"/>
              <w:bottom w:type="dxa" w:w="80"/>
              <w:right w:type="dxa" w:w="130"/>
            </w:tcMar>
            <w:vAlign w:val="center"/>
          </w:tcPr>
          <w:p>
            <w:r>
              <w:rPr>
                <w:b/>
                <w:bCs/>
                <w:color w:val="FFFFFF"/>
                <w:sz w:val="19"/>
                <w:szCs w:val="19"/>
              </w:rPr>
              <w:t xml:space="preserve">Example</w:t>
            </w:r>
          </w:p>
        </w:tc>
        <w:tc>
          <w:tcPr>
            <w:tcW w:type="dxa" w:w="2200"/>
            <w:tcBorders>
              <w:top w:val="single" w:color="CBD8D6" w:sz="2"/>
              <w:left w:val="single" w:color="CBD8D6" w:sz="2"/>
              <w:bottom w:val="single" w:color="CBD8D6" w:sz="2"/>
              <w:right w:val="single" w:color="CBD8D6" w:sz="2"/>
            </w:tcBorders>
            <w:shd w:fill="0B4A47" w:val="clear"/>
            <w:tcMar>
              <w:top w:type="dxa" w:w="80"/>
              <w:left w:type="dxa" w:w="130"/>
              <w:bottom w:type="dxa" w:w="80"/>
              <w:right w:type="dxa" w:w="130"/>
            </w:tcMar>
            <w:vAlign w:val="center"/>
          </w:tcPr>
          <w:p>
            <w:r>
              <w:rPr>
                <w:b/>
                <w:bCs/>
                <w:color w:val="FFFFFF"/>
                <w:sz w:val="19"/>
                <w:szCs w:val="19"/>
              </w:rPr>
              <w:t xml:space="preserve">Best Placement on SOCVault</w:t>
            </w:r>
          </w:p>
        </w:tc>
      </w:tr>
      <w:tr>
        <w:tc>
          <w:tcPr>
            <w:tcW w:type="dxa" w:w="16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Informational</w:t>
            </w:r>
          </w:p>
        </w:tc>
        <w:tc>
          <w:tcPr>
            <w:tcW w:type="dxa" w:w="26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"What is this / how does it work?"</w:t>
            </w:r>
          </w:p>
        </w:tc>
        <w:tc>
          <w:tcPr>
            <w:tcW w:type="dxa" w:w="29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what is SOC as a service, how does AI cybersecurity work</w:t>
            </w:r>
          </w:p>
        </w:tc>
        <w:tc>
          <w:tcPr>
            <w:tcW w:type="dxa" w:w="22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Problem section, "How it works" diagram, FAQ</w:t>
            </w:r>
          </w:p>
        </w:tc>
      </w:tr>
      <w:tr>
        <w:tc>
          <w:tcPr>
            <w:tcW w:type="dxa" w:w="16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Navigational</w:t>
            </w:r>
          </w:p>
        </w:tc>
        <w:tc>
          <w:tcPr>
            <w:tcW w:type="dxa" w:w="26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"Where is this specific brand/tool?"</w:t>
            </w:r>
          </w:p>
        </w:tc>
        <w:tc>
          <w:tcPr>
            <w:tcW w:type="dxa" w:w="29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SOCVault login, SOCVault pricing</w:t>
            </w:r>
          </w:p>
        </w:tc>
        <w:tc>
          <w:tcPr>
            <w:tcW w:type="dxa" w:w="22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Header nav, footer, dedicated anchors</w:t>
            </w:r>
          </w:p>
        </w:tc>
      </w:tr>
      <w:tr>
        <w:tc>
          <w:tcPr>
            <w:tcW w:type="dxa" w:w="16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Commercial</w:t>
            </w:r>
          </w:p>
        </w:tc>
        <w:tc>
          <w:tcPr>
            <w:tcW w:type="dxa" w:w="26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"Which option is best for me?"</w:t>
            </w:r>
          </w:p>
        </w:tc>
        <w:tc>
          <w:tcPr>
            <w:tcW w:type="dxa" w:w="29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best unified cybersecurity platform, SOCVault vs Intruder.io</w:t>
            </w:r>
          </w:p>
        </w:tc>
        <w:tc>
          <w:tcPr>
            <w:tcW w:type="dxa" w:w="22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Comparison table, USP section</w:t>
            </w:r>
          </w:p>
        </w:tc>
      </w:tr>
      <w:tr>
        <w:tc>
          <w:tcPr>
            <w:tcW w:type="dxa" w:w="16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Transactional</w:t>
            </w:r>
          </w:p>
        </w:tc>
        <w:tc>
          <w:tcPr>
            <w:tcW w:type="dxa" w:w="26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"I want to start now."</w:t>
            </w:r>
          </w:p>
        </w:tc>
        <w:tc>
          <w:tcPr>
            <w:tcW w:type="dxa" w:w="29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free vulnerability scan, start free cybersecurity scan</w:t>
            </w:r>
          </w:p>
        </w:tc>
        <w:tc>
          <w:tcPr>
            <w:tcW w:type="dxa" w:w="22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Header form, hero CTA, pricing CTA</w:t>
            </w:r>
          </w:p>
        </w:tc>
      </w:tr>
    </w:tbl>
    <w:p>
      <w:pPr>
        <w:pStyle w:val="Heading1"/>
      </w:pPr>
      <w:r>
        <w:t xml:space="preserve">4. SOCVault Keyword Universe</w:t>
      </w:r>
    </w:p>
    <w:p>
      <w:pPr>
        <w:pStyle w:val="Heading2"/>
      </w:pPr>
      <w:r>
        <w:t xml:space="preserve">4.1 Primary platform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BD8D6" w:sz="2"/>
              <w:left w:val="single" w:color="CBD8D6" w:sz="2"/>
              <w:bottom w:val="single" w:color="CBD8D6" w:sz="2"/>
              <w:right w:val="single" w:color="CBD8D6" w:sz="2"/>
            </w:tcBorders>
            <w:shd w:fill="0B4A47" w:val="clear"/>
            <w:tcMar>
              <w:top w:type="dxa" w:w="80"/>
              <w:left w:type="dxa" w:w="130"/>
              <w:bottom w:type="dxa" w:w="80"/>
              <w:right w:type="dxa" w:w="130"/>
            </w:tcMar>
            <w:vAlign w:val="center"/>
          </w:tcPr>
          <w:p>
            <w:r>
              <w:rPr>
                <w:b/>
                <w:bCs/>
                <w:color w:val="FFFFFF"/>
                <w:sz w:val="19"/>
                <w:szCs w:val="19"/>
              </w:rPr>
              <w:t xml:space="preserve">Keyword Type</w:t>
            </w:r>
          </w:p>
        </w:tc>
        <w:tc>
          <w:tcPr>
            <w:tcW w:type="dxa" w:w="7360"/>
            <w:tcBorders>
              <w:top w:val="single" w:color="CBD8D6" w:sz="2"/>
              <w:left w:val="single" w:color="CBD8D6" w:sz="2"/>
              <w:bottom w:val="single" w:color="CBD8D6" w:sz="2"/>
              <w:right w:val="single" w:color="CBD8D6" w:sz="2"/>
            </w:tcBorders>
            <w:shd w:fill="0B4A47" w:val="clear"/>
            <w:tcMar>
              <w:top w:type="dxa" w:w="80"/>
              <w:left w:type="dxa" w:w="130"/>
              <w:bottom w:type="dxa" w:w="80"/>
              <w:right w:type="dxa" w:w="130"/>
            </w:tcMar>
            <w:vAlign w:val="center"/>
          </w:tcPr>
          <w:p>
            <w:r>
              <w:rPr>
                <w:b/>
                <w:bCs/>
                <w:color w:val="FFFFFF"/>
                <w:sz w:val="19"/>
                <w:szCs w:val="19"/>
              </w:rPr>
              <w:t xml:space="preserve">Keywords</w:t>
            </w:r>
          </w:p>
        </w:tc>
      </w:tr>
      <w:tr>
        <w:tc>
          <w:tcPr>
            <w:tcW w:type="dxa" w:w="20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Short-Tail</w:t>
            </w:r>
          </w:p>
        </w:tc>
        <w:tc>
          <w:tcPr>
            <w:tcW w:type="dxa" w:w="73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cybersecurity platform, vulnerability scanner, SOC as a service, AI cybersecurity, vCISO</w:t>
            </w:r>
          </w:p>
        </w:tc>
      </w:tr>
      <w:tr>
        <w:tc>
          <w:tcPr>
            <w:tcW w:type="dxa" w:w="2000"/>
            <w:tcBorders>
              <w:top w:val="single" w:color="CBD8D6" w:sz="2"/>
              <w:left w:val="single" w:color="CBD8D6" w:sz="2"/>
              <w:bottom w:val="single" w:color="CBD8D6" w:sz="2"/>
              <w:right w:val="single" w:color="CBD8D6" w:sz="2"/>
            </w:tcBorders>
            <w:shd w:fill="F4F8F7" w:val="clear"/>
            <w:tcMar>
              <w:top w:type="dxa" w:w="80"/>
              <w:left w:type="dxa" w:w="130"/>
              <w:bottom w:type="dxa" w:w="80"/>
              <w:right w:type="dxa" w:w="130"/>
            </w:tcMar>
            <w:vAlign w:val="center"/>
          </w:tcPr>
          <w:p>
            <w:r>
              <w:rPr>
                <w:b w:val="false"/>
                <w:bCs w:val="false"/>
                <w:sz w:val="19"/>
                <w:szCs w:val="19"/>
              </w:rPr>
              <w:t xml:space="preserve">Middle-Tail</w:t>
            </w:r>
          </w:p>
        </w:tc>
        <w:tc>
          <w:tcPr>
            <w:tcW w:type="dxa" w:w="7360"/>
            <w:tcBorders>
              <w:top w:val="single" w:color="CBD8D6" w:sz="2"/>
              <w:left w:val="single" w:color="CBD8D6" w:sz="2"/>
              <w:bottom w:val="single" w:color="CBD8D6" w:sz="2"/>
              <w:right w:val="single" w:color="CBD8D6" w:sz="2"/>
            </w:tcBorders>
            <w:shd w:fill="F4F8F7" w:val="clear"/>
            <w:tcMar>
              <w:top w:type="dxa" w:w="80"/>
              <w:left w:type="dxa" w:w="130"/>
              <w:bottom w:type="dxa" w:w="80"/>
              <w:right w:type="dxa" w:w="130"/>
            </w:tcMar>
            <w:vAlign w:val="center"/>
          </w:tcPr>
          <w:p>
            <w:r>
              <w:rPr>
                <w:b w:val="false"/>
                <w:bCs w:val="false"/>
                <w:sz w:val="19"/>
                <w:szCs w:val="19"/>
              </w:rPr>
              <w:t xml:space="preserve">AI cybersecurity platform, unified security platform, AI vCISO platform, automated vulnerability scanning</w:t>
            </w:r>
          </w:p>
        </w:tc>
      </w:tr>
      <w:tr>
        <w:tc>
          <w:tcPr>
            <w:tcW w:type="dxa" w:w="20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Long-Tail</w:t>
            </w:r>
          </w:p>
        </w:tc>
        <w:tc>
          <w:tcPr>
            <w:tcW w:type="dxa" w:w="73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unified AI-agentic cybersecurity platform, all-in-one cybersecurity platform with autonomous AI operations, AI vulnerability scanner with financial risk reports</w:t>
            </w:r>
          </w:p>
        </w:tc>
      </w:tr>
      <w:tr>
        <w:tc>
          <w:tcPr>
            <w:tcW w:type="dxa" w:w="2000"/>
            <w:tcBorders>
              <w:top w:val="single" w:color="CBD8D6" w:sz="2"/>
              <w:left w:val="single" w:color="CBD8D6" w:sz="2"/>
              <w:bottom w:val="single" w:color="CBD8D6" w:sz="2"/>
              <w:right w:val="single" w:color="CBD8D6" w:sz="2"/>
            </w:tcBorders>
            <w:shd w:fill="F4F8F7" w:val="clear"/>
            <w:tcMar>
              <w:top w:type="dxa" w:w="80"/>
              <w:left w:type="dxa" w:w="130"/>
              <w:bottom w:type="dxa" w:w="80"/>
              <w:right w:type="dxa" w:w="130"/>
            </w:tcMar>
            <w:vAlign w:val="center"/>
          </w:tcPr>
          <w:p>
            <w:r>
              <w:rPr>
                <w:b w:val="false"/>
                <w:bCs w:val="false"/>
                <w:sz w:val="19"/>
                <w:szCs w:val="19"/>
              </w:rPr>
              <w:t xml:space="preserve">Commercial</w:t>
            </w:r>
          </w:p>
        </w:tc>
        <w:tc>
          <w:tcPr>
            <w:tcW w:type="dxa" w:w="7360"/>
            <w:tcBorders>
              <w:top w:val="single" w:color="CBD8D6" w:sz="2"/>
              <w:left w:val="single" w:color="CBD8D6" w:sz="2"/>
              <w:bottom w:val="single" w:color="CBD8D6" w:sz="2"/>
              <w:right w:val="single" w:color="CBD8D6" w:sz="2"/>
            </w:tcBorders>
            <w:shd w:fill="F4F8F7" w:val="clear"/>
            <w:tcMar>
              <w:top w:type="dxa" w:w="80"/>
              <w:left w:type="dxa" w:w="130"/>
              <w:bottom w:type="dxa" w:w="80"/>
              <w:right w:type="dxa" w:w="130"/>
            </w:tcMar>
            <w:vAlign w:val="center"/>
          </w:tcPr>
          <w:p>
            <w:r>
              <w:rPr>
                <w:b w:val="false"/>
                <w:bCs w:val="false"/>
                <w:sz w:val="19"/>
                <w:szCs w:val="19"/>
              </w:rPr>
              <w:t xml:space="preserve">best AI vCISO platform, top SOC as a service provider, best unified cybersecurity platform, affordable AI-agentic cybersecurity platform</w:t>
            </w:r>
          </w:p>
        </w:tc>
      </w:tr>
      <w:tr>
        <w:tc>
          <w:tcPr>
            <w:tcW w:type="dxa" w:w="20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Transactional</w:t>
            </w:r>
          </w:p>
        </w:tc>
        <w:tc>
          <w:tcPr>
            <w:tcW w:type="dxa" w:w="73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start free vulnerability scan, sign up for SOC as a service, get a free cybersecurity risk report, request SOCVault demo</w:t>
            </w:r>
          </w:p>
        </w:tc>
      </w:tr>
      <w:tr>
        <w:tc>
          <w:tcPr>
            <w:tcW w:type="dxa" w:w="2000"/>
            <w:tcBorders>
              <w:top w:val="single" w:color="CBD8D6" w:sz="2"/>
              <w:left w:val="single" w:color="CBD8D6" w:sz="2"/>
              <w:bottom w:val="single" w:color="CBD8D6" w:sz="2"/>
              <w:right w:val="single" w:color="CBD8D6" w:sz="2"/>
            </w:tcBorders>
            <w:shd w:fill="F4F8F7" w:val="clear"/>
            <w:tcMar>
              <w:top w:type="dxa" w:w="80"/>
              <w:left w:type="dxa" w:w="130"/>
              <w:bottom w:type="dxa" w:w="80"/>
              <w:right w:type="dxa" w:w="130"/>
            </w:tcMar>
            <w:vAlign w:val="center"/>
          </w:tcPr>
          <w:p>
            <w:r>
              <w:rPr>
                <w:b w:val="false"/>
                <w:bCs w:val="false"/>
                <w:sz w:val="19"/>
                <w:szCs w:val="19"/>
              </w:rPr>
              <w:t xml:space="preserve">Navigational</w:t>
            </w:r>
          </w:p>
        </w:tc>
        <w:tc>
          <w:tcPr>
            <w:tcW w:type="dxa" w:w="7360"/>
            <w:tcBorders>
              <w:top w:val="single" w:color="CBD8D6" w:sz="2"/>
              <w:left w:val="single" w:color="CBD8D6" w:sz="2"/>
              <w:bottom w:val="single" w:color="CBD8D6" w:sz="2"/>
              <w:right w:val="single" w:color="CBD8D6" w:sz="2"/>
            </w:tcBorders>
            <w:shd w:fill="F4F8F7" w:val="clear"/>
            <w:tcMar>
              <w:top w:type="dxa" w:w="80"/>
              <w:left w:type="dxa" w:w="130"/>
              <w:bottom w:type="dxa" w:w="80"/>
              <w:right w:type="dxa" w:w="130"/>
            </w:tcMar>
            <w:vAlign w:val="center"/>
          </w:tcPr>
          <w:p>
            <w:r>
              <w:rPr>
                <w:b w:val="false"/>
                <w:bCs w:val="false"/>
                <w:sz w:val="19"/>
                <w:szCs w:val="19"/>
              </w:rPr>
              <w:t xml:space="preserve">SOCVault, SOCVault login, SOCVault sign up, SOCVault pricing, SOCVault free scan</w:t>
            </w:r>
          </w:p>
        </w:tc>
      </w:tr>
    </w:tbl>
    <w:p>
      <w:pPr>
        <w:pStyle w:val="Heading2"/>
      </w:pPr>
      <w:r>
        <w:t xml:space="preserve">4.2 AI-Agentic &amp; vCISO Positioning Keywords</w:t>
      </w:r>
    </w:p>
    <w:p>
      <w:pPr>
        <w:spacing w:after="160"/>
      </w:pPr>
      <w:r>
        <w:t xml:space="preserve">This cluster is SOCVault's primary differentiating angle: the platform doesn't just scan, it reasons and acts. These terms should anchor the hero, the "How it works" section, and any comparison content — they are the keywords that separate SOCVault from a conventional scanner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BD8D6" w:sz="2"/>
              <w:left w:val="single" w:color="CBD8D6" w:sz="2"/>
              <w:bottom w:val="single" w:color="CBD8D6" w:sz="2"/>
              <w:right w:val="single" w:color="CBD8D6" w:sz="2"/>
            </w:tcBorders>
            <w:shd w:fill="0B4A47" w:val="clear"/>
            <w:tcMar>
              <w:top w:type="dxa" w:w="80"/>
              <w:left w:type="dxa" w:w="130"/>
              <w:bottom w:type="dxa" w:w="80"/>
              <w:right w:type="dxa" w:w="130"/>
            </w:tcMar>
            <w:vAlign w:val="center"/>
          </w:tcPr>
          <w:p>
            <w:r>
              <w:rPr>
                <w:b/>
                <w:bCs/>
                <w:color w:val="FFFFFF"/>
                <w:sz w:val="19"/>
                <w:szCs w:val="19"/>
              </w:rPr>
              <w:t xml:space="preserve">Keyword Type</w:t>
            </w:r>
          </w:p>
        </w:tc>
        <w:tc>
          <w:tcPr>
            <w:tcW w:type="dxa" w:w="7360"/>
            <w:tcBorders>
              <w:top w:val="single" w:color="CBD8D6" w:sz="2"/>
              <w:left w:val="single" w:color="CBD8D6" w:sz="2"/>
              <w:bottom w:val="single" w:color="CBD8D6" w:sz="2"/>
              <w:right w:val="single" w:color="CBD8D6" w:sz="2"/>
            </w:tcBorders>
            <w:shd w:fill="0B4A47" w:val="clear"/>
            <w:tcMar>
              <w:top w:type="dxa" w:w="80"/>
              <w:left w:type="dxa" w:w="130"/>
              <w:bottom w:type="dxa" w:w="80"/>
              <w:right w:type="dxa" w:w="130"/>
            </w:tcMar>
            <w:vAlign w:val="center"/>
          </w:tcPr>
          <w:p>
            <w:r>
              <w:rPr>
                <w:b/>
                <w:bCs/>
                <w:color w:val="FFFFFF"/>
                <w:sz w:val="19"/>
                <w:szCs w:val="19"/>
              </w:rPr>
              <w:t xml:space="preserve">Keywords</w:t>
            </w:r>
          </w:p>
        </w:tc>
      </w:tr>
      <w:tr>
        <w:tc>
          <w:tcPr>
            <w:tcW w:type="dxa" w:w="20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Category-defining</w:t>
            </w:r>
          </w:p>
        </w:tc>
        <w:tc>
          <w:tcPr>
            <w:tcW w:type="dxa" w:w="73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agentic AI cybersecurity platform, AI vCISO, virtual CISO software, AI-driven CISO as a service, autonomous security operations platform</w:t>
            </w:r>
          </w:p>
        </w:tc>
      </w:tr>
      <w:tr>
        <w:tc>
          <w:tcPr>
            <w:tcW w:type="dxa" w:w="20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Functional / long-tail</w:t>
            </w:r>
          </w:p>
        </w:tc>
        <w:tc>
          <w:tcPr>
            <w:tcW w:type="dxa" w:w="73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AI agent for vulnerability remediation, autonomous AI security analyst, AI security agent with human approval gate, AI-generated board-ready risk report, automated CISO reporting</w:t>
            </w:r>
          </w:p>
        </w:tc>
      </w:tr>
      <w:tr>
        <w:tc>
          <w:tcPr>
            <w:tcW w:type="dxa" w:w="20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Commercial</w:t>
            </w:r>
          </w:p>
        </w:tc>
        <w:tc>
          <w:tcPr>
            <w:tcW w:type="dxa" w:w="73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best AI vCISO platform, best agentic AI cybersecurity platform, virtual CISO software comparison</w:t>
            </w:r>
          </w:p>
        </w:tc>
      </w:tr>
      <w:tr>
        <w:tc>
          <w:tcPr>
            <w:tcW w:type="dxa" w:w="20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Transactional</w:t>
            </w:r>
          </w:p>
        </w:tc>
        <w:tc>
          <w:tcPr>
            <w:tcW w:type="dxa" w:w="73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get an AI vCISO report, deploy an AI security agent, request agentic AI security demo</w:t>
            </w:r>
          </w:p>
        </w:tc>
      </w:tr>
      <w:tr>
        <w:tc>
          <w:tcPr>
            <w:tcW w:type="dxa" w:w="20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FAQ / conversational</w:t>
            </w:r>
          </w:p>
        </w:tc>
        <w:tc>
          <w:tcPr>
            <w:tcW w:type="dxa" w:w="73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what is an AI vCISO, can AI replace a CISO, what is agentic AI in cybersecurity, how does an AI security agent decide what to fix first</w:t>
            </w:r>
          </w:p>
        </w:tc>
      </w:tr>
    </w:tbl>
    <w:p>
      <w:pPr>
        <w:pStyle w:val="Heading2"/>
      </w:pPr>
      <w:r>
        <w:t xml:space="preserve">4.3 Layer &amp; feature keyword clusters</w:t>
      </w:r>
    </w:p>
    <w:p>
      <w:pPr>
        <w:spacing w:after="160"/>
      </w:pPr>
      <w:r>
        <w:t xml:space="preserve">Each platform layer is a distinct topical cluster. These keywords seed the landing-page section copy now and become standalone supporting/blog pages later (Section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8D6" w:sz="2"/>
              <w:left w:val="single" w:color="CBD8D6" w:sz="2"/>
              <w:bottom w:val="single" w:color="CBD8D6" w:sz="2"/>
              <w:right w:val="single" w:color="CBD8D6" w:sz="2"/>
            </w:tcBorders>
            <w:shd w:fill="0B4A47" w:val="clear"/>
            <w:tcMar>
              <w:top w:type="dxa" w:w="80"/>
              <w:left w:type="dxa" w:w="130"/>
              <w:bottom w:type="dxa" w:w="80"/>
              <w:right w:type="dxa" w:w="130"/>
            </w:tcMar>
            <w:vAlign w:val="center"/>
          </w:tcPr>
          <w:p>
            <w:r>
              <w:rPr>
                <w:b/>
                <w:bCs/>
                <w:color w:val="FFFFFF"/>
                <w:sz w:val="19"/>
                <w:szCs w:val="19"/>
              </w:rPr>
              <w:t xml:space="preserve">Layer / Feature</w:t>
            </w:r>
          </w:p>
        </w:tc>
        <w:tc>
          <w:tcPr>
            <w:tcW w:type="dxa" w:w="6960"/>
            <w:tcBorders>
              <w:top w:val="single" w:color="CBD8D6" w:sz="2"/>
              <w:left w:val="single" w:color="CBD8D6" w:sz="2"/>
              <w:bottom w:val="single" w:color="CBD8D6" w:sz="2"/>
              <w:right w:val="single" w:color="CBD8D6" w:sz="2"/>
            </w:tcBorders>
            <w:shd w:fill="0B4A47" w:val="clear"/>
            <w:tcMar>
              <w:top w:type="dxa" w:w="80"/>
              <w:left w:type="dxa" w:w="130"/>
              <w:bottom w:type="dxa" w:w="80"/>
              <w:right w:type="dxa" w:w="130"/>
            </w:tcMar>
            <w:vAlign w:val="center"/>
          </w:tcPr>
          <w:p>
            <w:r>
              <w:rPr>
                <w:b/>
                <w:bCs/>
                <w:color w:val="FFFFFF"/>
                <w:sz w:val="19"/>
                <w:szCs w:val="19"/>
              </w:rPr>
              <w:t xml:space="preserve">Best SEO Keywords</w:t>
            </w:r>
          </w:p>
        </w:tc>
      </w:tr>
      <w:tr>
        <w:tc>
          <w:tcPr>
            <w:tcW w:type="dxa" w:w="24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L1 — External Attack Surface Recon</w:t>
            </w:r>
          </w:p>
        </w:tc>
        <w:tc>
          <w:tcPr>
            <w:tcW w:type="dxa" w:w="69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external attack surface management, free vulnerability scan, domain security scan, DNS and SSL security check, subdomain discovery tool, SPF DKIM DMARC checker, attack surface monitoring</w:t>
            </w:r>
          </w:p>
        </w:tc>
      </w:tr>
      <w:tr>
        <w:tc>
          <w:tcPr>
            <w:tcW w:type="dxa" w:w="24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L2 — Web Application Security (VAPT)</w:t>
            </w:r>
          </w:p>
        </w:tc>
        <w:tc>
          <w:tcPr>
            <w:tcW w:type="dxa" w:w="69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web application penetration testing, web app vulnerability scanner, automated web app security testing, OWASP top 10 scanner, agentic web VAPT platform</w:t>
            </w:r>
          </w:p>
        </w:tc>
      </w:tr>
      <w:tr>
        <w:tc>
          <w:tcPr>
            <w:tcW w:type="dxa" w:w="24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L3 — Mobile App Security</w:t>
            </w:r>
          </w:p>
        </w:tc>
        <w:tc>
          <w:tcPr>
            <w:tcW w:type="dxa" w:w="69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mobile app penetration testing, Android app security scan, iOS app security testing, MASVS compliance scan, mobile app vulnerability assessment</w:t>
            </w:r>
          </w:p>
        </w:tc>
      </w:tr>
      <w:tr>
        <w:tc>
          <w:tcPr>
            <w:tcW w:type="dxa" w:w="24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L4 — API Security</w:t>
            </w:r>
          </w:p>
        </w:tc>
        <w:tc>
          <w:tcPr>
            <w:tcW w:type="dxa" w:w="69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API security testing, API penetration testing, OWASP API top 10 scanner, automated API vulnerability scanner</w:t>
            </w:r>
          </w:p>
        </w:tc>
      </w:tr>
      <w:tr>
        <w:tc>
          <w:tcPr>
            <w:tcW w:type="dxa" w:w="24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L5 — Compliance &amp; Audit Readiness</w:t>
            </w:r>
          </w:p>
        </w:tc>
        <w:tc>
          <w:tcPr>
            <w:tcW w:type="dxa" w:w="69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compliance gap analysis tool, PCI-DSS compliance scanner, GDPR compliance check, ISO 27001 gap analysis, Cyber Essentials Plus readiness, SOC 2 compliance tool</w:t>
            </w:r>
          </w:p>
        </w:tc>
      </w:tr>
      <w:tr>
        <w:tc>
          <w:tcPr>
            <w:tcW w:type="dxa" w:w="24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L6 — Cloud Security Posture</w:t>
            </w:r>
          </w:p>
        </w:tc>
        <w:tc>
          <w:tcPr>
            <w:tcW w:type="dxa" w:w="69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cloud security posture management, AWS security audit tool, cloud misconfiguration scanner, IAM risk assessment, autonomous CSPM platform</w:t>
            </w:r>
          </w:p>
        </w:tc>
      </w:tr>
      <w:tr>
        <w:tc>
          <w:tcPr>
            <w:tcW w:type="dxa" w:w="24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L7 — SOC / SIEM Monitoring</w:t>
            </w:r>
          </w:p>
        </w:tc>
        <w:tc>
          <w:tcPr>
            <w:tcW w:type="dxa" w:w="69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SOC as a service, AI-managed SOC operations, SIEM as a service, 24/7 AI-driven security monitoring, real-time threat detection platform</w:t>
            </w:r>
          </w:p>
        </w:tc>
      </w:tr>
      <w:tr>
        <w:tc>
          <w:tcPr>
            <w:tcW w:type="dxa" w:w="24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L8 — Malware Detection &amp; Response</w:t>
            </w:r>
          </w:p>
        </w:tc>
        <w:tc>
          <w:tcPr>
            <w:tcW w:type="dxa" w:w="69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AI malware detection, automated malware response, endpoint malware scanner, website malware removal, AI-powered threat containment</w:t>
            </w:r>
          </w:p>
        </w:tc>
      </w:tr>
      <w:tr>
        <w:tc>
          <w:tcPr>
            <w:tcW w:type="dxa" w:w="24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L9 — AI Agent Security Scan</w:t>
            </w:r>
          </w:p>
        </w:tc>
        <w:tc>
          <w:tcPr>
            <w:tcW w:type="dxa" w:w="69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autonomous AI security agent, AI-driven penetration testing, agentic AI vulnerability scanning</w:t>
            </w:r>
          </w:p>
        </w:tc>
      </w:tr>
      <w:tr>
        <w:tc>
          <w:tcPr>
            <w:tcW w:type="dxa" w:w="24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AI Financial Risk Translation</w:t>
            </w:r>
          </w:p>
        </w:tc>
        <w:tc>
          <w:tcPr>
            <w:tcW w:type="dxa" w:w="69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financial risk translation for cybersecurity, turn vulnerabilities into dollar risk, cyber risk quantification tool, board-ready cyber risk report</w:t>
            </w:r>
          </w:p>
        </w:tc>
      </w:tr>
      <w:tr>
        <w:tc>
          <w:tcPr>
            <w:tcW w:type="dxa" w:w="24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SOAR / Automated Response</w:t>
            </w:r>
          </w:p>
        </w:tc>
        <w:tc>
          <w:tcPr>
            <w:tcW w:type="dxa" w:w="69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agentic SOAR platform, automated incident response platform, AI-driven SOAR, AI-triaged incident response</w:t>
            </w:r>
          </w:p>
        </w:tc>
      </w:tr>
      <w:tr>
        <w:tc>
          <w:tcPr>
            <w:tcW w:type="dxa" w:w="24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Freemium / Free Scan</w:t>
            </w:r>
          </w:p>
        </w:tc>
        <w:tc>
          <w:tcPr>
            <w:tcW w:type="dxa" w:w="69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free cybersecurity scan, free vulnerability assessment, free SOC scan no credit card, free external recon scan</w:t>
            </w:r>
          </w:p>
        </w:tc>
      </w:tr>
      <w:tr>
        <w:tc>
          <w:tcPr>
            <w:tcW w:type="dxa" w:w="24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AI Security Assistant</w:t>
            </w:r>
          </w:p>
        </w:tc>
        <w:tc>
          <w:tcPr>
            <w:tcW w:type="dxa" w:w="69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conversational AI security assistant, AI chatbot for cybersecurity, ask AI about my security score, Claude-powered security assistant</w:t>
            </w:r>
          </w:p>
        </w:tc>
      </w:tr>
    </w:tbl>
    <w:p>
      <w:pPr>
        <w:pStyle w:val="Heading2"/>
      </w:pPr>
      <w:r>
        <w:t xml:space="preserve">4.4 Compliance-framework keywords (high commercial intent)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8D6" w:sz="2"/>
              <w:left w:val="single" w:color="CBD8D6" w:sz="2"/>
              <w:bottom w:val="single" w:color="CBD8D6" w:sz="2"/>
              <w:right w:val="single" w:color="CBD8D6" w:sz="2"/>
            </w:tcBorders>
            <w:shd w:fill="0B4A47" w:val="clear"/>
            <w:tcMar>
              <w:top w:type="dxa" w:w="80"/>
              <w:left w:type="dxa" w:w="130"/>
              <w:bottom w:type="dxa" w:w="80"/>
              <w:right w:type="dxa" w:w="130"/>
            </w:tcMar>
            <w:vAlign w:val="center"/>
          </w:tcPr>
          <w:p>
            <w:r>
              <w:rPr>
                <w:b/>
                <w:bCs/>
                <w:color w:val="FFFFFF"/>
                <w:sz w:val="19"/>
                <w:szCs w:val="19"/>
              </w:rPr>
              <w:t xml:space="preserve">Framework</w:t>
            </w:r>
          </w:p>
        </w:tc>
        <w:tc>
          <w:tcPr>
            <w:tcW w:type="dxa" w:w="7160"/>
            <w:tcBorders>
              <w:top w:val="single" w:color="CBD8D6" w:sz="2"/>
              <w:left w:val="single" w:color="CBD8D6" w:sz="2"/>
              <w:bottom w:val="single" w:color="CBD8D6" w:sz="2"/>
              <w:right w:val="single" w:color="CBD8D6" w:sz="2"/>
            </w:tcBorders>
            <w:shd w:fill="0B4A47" w:val="clear"/>
            <w:tcMar>
              <w:top w:type="dxa" w:w="80"/>
              <w:left w:type="dxa" w:w="130"/>
              <w:bottom w:type="dxa" w:w="80"/>
              <w:right w:type="dxa" w:w="130"/>
            </w:tcMar>
            <w:vAlign w:val="center"/>
          </w:tcPr>
          <w:p>
            <w:r>
              <w:rPr>
                <w:b/>
                <w:bCs/>
                <w:color w:val="FFFFFF"/>
                <w:sz w:val="19"/>
                <w:szCs w:val="19"/>
              </w:rPr>
              <w:t xml:space="preserve">Keywords</w:t>
            </w:r>
          </w:p>
        </w:tc>
      </w:tr>
      <w:tr>
        <w:tc>
          <w:tcPr>
            <w:tcW w:type="dxa" w:w="22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PCI-DSS 4.0</w:t>
            </w:r>
          </w:p>
        </w:tc>
        <w:tc>
          <w:tcPr>
            <w:tcW w:type="dxa" w:w="71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PCI-DSS compliance software, PCI-DSS 4.0 gap analysis, automated PCI compliance scanner</w:t>
            </w:r>
          </w:p>
        </w:tc>
      </w:tr>
      <w:tr>
        <w:tc>
          <w:tcPr>
            <w:tcW w:type="dxa" w:w="22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UK GDPR</w:t>
            </w:r>
          </w:p>
        </w:tc>
        <w:tc>
          <w:tcPr>
            <w:tcW w:type="dxa" w:w="71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GDPR compliance tool, GDPR security audit, UK GDPR vulnerability scanning</w:t>
            </w:r>
          </w:p>
        </w:tc>
      </w:tr>
      <w:tr>
        <w:tc>
          <w:tcPr>
            <w:tcW w:type="dxa" w:w="22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ISO 27001:2022</w:t>
            </w:r>
          </w:p>
        </w:tc>
        <w:tc>
          <w:tcPr>
            <w:tcW w:type="dxa" w:w="71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ISO 27001 compliance software, ISO 27001 gap analysis tool, ISO 27001 readiness scan</w:t>
            </w:r>
          </w:p>
        </w:tc>
      </w:tr>
      <w:tr>
        <w:tc>
          <w:tcPr>
            <w:tcW w:type="dxa" w:w="22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SOC 2 Type II</w:t>
            </w:r>
          </w:p>
        </w:tc>
        <w:tc>
          <w:tcPr>
            <w:tcW w:type="dxa" w:w="71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SOC 2 compliance automation, SOC 2 readiness scanner</w:t>
            </w:r>
          </w:p>
        </w:tc>
      </w:tr>
      <w:tr>
        <w:tc>
          <w:tcPr>
            <w:tcW w:type="dxa" w:w="22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Cyber Essentials Plus</w:t>
            </w:r>
          </w:p>
        </w:tc>
        <w:tc>
          <w:tcPr>
            <w:tcW w:type="dxa" w:w="71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Cyber Essentials Plus scan, Cyber Essentials compliance UK, Cyber Essentials Plus readiness tool</w:t>
            </w:r>
          </w:p>
        </w:tc>
      </w:tr>
    </w:tbl>
    <w:p>
      <w:pPr>
        <w:pStyle w:val="Heading2"/>
      </w:pPr>
      <w:r>
        <w:t xml:space="preserve">4.5 Unique Differentiator Keywords — Open Tech Stack + Agentic AI Reasoning</w:t>
      </w:r>
    </w:p>
    <w:p>
      <w:pPr>
        <w:spacing w:after="160"/>
      </w:pPr>
      <w:r>
        <w:t xml:space="preserve">This is SOCVault's most defensible and least-copyable keyword territory, because it is anchored in the literal technology, not a market segment. Competitors can claim "AI-powered"; few can name an auditable, open-source detection stack reasoned over by a named, current-generation AI model. Use this cluster wherever the page needs to prove substance over marketing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BD8D6" w:sz="2"/>
              <w:left w:val="single" w:color="CBD8D6" w:sz="2"/>
              <w:bottom w:val="single" w:color="CBD8D6" w:sz="2"/>
              <w:right w:val="single" w:color="CBD8D6" w:sz="2"/>
            </w:tcBorders>
            <w:shd w:fill="0B4A47" w:val="clear"/>
            <w:tcMar>
              <w:top w:type="dxa" w:w="80"/>
              <w:left w:type="dxa" w:w="130"/>
              <w:bottom w:type="dxa" w:w="80"/>
              <w:right w:type="dxa" w:w="130"/>
            </w:tcMar>
            <w:vAlign w:val="center"/>
          </w:tcPr>
          <w:p>
            <w:r>
              <w:rPr>
                <w:b/>
                <w:bCs/>
                <w:color w:val="FFFFFF"/>
                <w:sz w:val="19"/>
                <w:szCs w:val="19"/>
              </w:rPr>
              <w:t xml:space="preserve">Keyword Type</w:t>
            </w:r>
          </w:p>
        </w:tc>
        <w:tc>
          <w:tcPr>
            <w:tcW w:type="dxa" w:w="7360"/>
            <w:tcBorders>
              <w:top w:val="single" w:color="CBD8D6" w:sz="2"/>
              <w:left w:val="single" w:color="CBD8D6" w:sz="2"/>
              <w:bottom w:val="single" w:color="CBD8D6" w:sz="2"/>
              <w:right w:val="single" w:color="CBD8D6" w:sz="2"/>
            </w:tcBorders>
            <w:shd w:fill="0B4A47" w:val="clear"/>
            <w:tcMar>
              <w:top w:type="dxa" w:w="80"/>
              <w:left w:type="dxa" w:w="130"/>
              <w:bottom w:type="dxa" w:w="80"/>
              <w:right w:type="dxa" w:w="130"/>
            </w:tcMar>
            <w:vAlign w:val="center"/>
          </w:tcPr>
          <w:p>
            <w:r>
              <w:rPr>
                <w:b/>
                <w:bCs/>
                <w:color w:val="FFFFFF"/>
                <w:sz w:val="19"/>
                <w:szCs w:val="19"/>
              </w:rPr>
              <w:t xml:space="preserve">Keywords</w:t>
            </w:r>
          </w:p>
        </w:tc>
      </w:tr>
      <w:tr>
        <w:tc>
          <w:tcPr>
            <w:tcW w:type="dxa" w:w="20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Stack transparency</w:t>
            </w:r>
          </w:p>
        </w:tc>
        <w:tc>
          <w:tcPr>
            <w:tcW w:type="dxa" w:w="73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open-source security tool stack, transparent cybersecurity tech stack, auditable AI security platform, Wazuh Nuclei Semgrep MobSF platform, no vendor lock-in security scanner</w:t>
            </w:r>
          </w:p>
        </w:tc>
      </w:tr>
      <w:tr>
        <w:tc>
          <w:tcPr>
            <w:tcW w:type="dxa" w:w="20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AI reasoning layer</w:t>
            </w:r>
          </w:p>
        </w:tc>
        <w:tc>
          <w:tcPr>
            <w:tcW w:type="dxa" w:w="73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Claude-powered cybersecurity platform, AI reasoning engine for cybersecurity, large language model security analysis, Anthropic-powered AI vCISO</w:t>
            </w:r>
          </w:p>
        </w:tc>
      </w:tr>
      <w:tr>
        <w:tc>
          <w:tcPr>
            <w:tcW w:type="dxa" w:w="20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Agentic operations</w:t>
            </w:r>
          </w:p>
        </w:tc>
        <w:tc>
          <w:tcPr>
            <w:tcW w:type="dxa" w:w="73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agentic SOC automation, AI agent action triggers, human-in-the-loop AI security, confidence-gated AI remediation</w:t>
            </w:r>
          </w:p>
        </w:tc>
      </w:tr>
      <w:tr>
        <w:tc>
          <w:tcPr>
            <w:tcW w:type="dxa" w:w="20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Comparison / proof</w:t>
            </w:r>
          </w:p>
        </w:tc>
        <w:tc>
          <w:tcPr>
            <w:tcW w:type="dxa" w:w="73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open-source vs proprietary security stack, why SOCVault is auditable, security platform built on open-source tooling</w:t>
            </w:r>
          </w:p>
        </w:tc>
      </w:tr>
    </w:tbl>
    <w:p>
      <w:pPr>
        <w:pStyle w:val="Heading2"/>
      </w:pPr>
      <w:r>
        <w:t xml:space="preserve">4.6 Landing-page section → keyword map</w:t>
      </w:r>
    </w:p>
    <w:p>
      <w:pPr>
        <w:spacing w:after="160"/>
      </w:pPr>
      <w:r>
        <w:t xml:space="preserve">Since SOCVault currently ships as a single long-form landing page, each section is treated as its own ranking and AI-citation unit (an "answer block") with its own primary keyword and anchor ID, rather than a separate 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rPr>
          <w:tblHeader/>
        </w:trPr>
        <w:tc>
          <w:tcPr>
            <w:tcW w:type="dxa" w:w="2200"/>
            <w:tcBorders>
              <w:top w:val="single" w:color="CBD8D6" w:sz="2"/>
              <w:left w:val="single" w:color="CBD8D6" w:sz="2"/>
              <w:bottom w:val="single" w:color="CBD8D6" w:sz="2"/>
              <w:right w:val="single" w:color="CBD8D6" w:sz="2"/>
            </w:tcBorders>
            <w:shd w:fill="0B4A47" w:val="clear"/>
            <w:tcMar>
              <w:top w:type="dxa" w:w="80"/>
              <w:left w:type="dxa" w:w="130"/>
              <w:bottom w:type="dxa" w:w="80"/>
              <w:right w:type="dxa" w:w="130"/>
            </w:tcMar>
            <w:vAlign w:val="center"/>
          </w:tcPr>
          <w:p>
            <w:r>
              <w:rPr>
                <w:b/>
                <w:bCs/>
                <w:color w:val="FFFFFF"/>
                <w:sz w:val="19"/>
                <w:szCs w:val="19"/>
              </w:rPr>
              <w:t xml:space="preserve">Section (Anchor)</w:t>
            </w:r>
          </w:p>
        </w:tc>
        <w:tc>
          <w:tcPr>
            <w:tcW w:type="dxa" w:w="5000"/>
            <w:tcBorders>
              <w:top w:val="single" w:color="CBD8D6" w:sz="2"/>
              <w:left w:val="single" w:color="CBD8D6" w:sz="2"/>
              <w:bottom w:val="single" w:color="CBD8D6" w:sz="2"/>
              <w:right w:val="single" w:color="CBD8D6" w:sz="2"/>
            </w:tcBorders>
            <w:shd w:fill="0B4A47" w:val="clear"/>
            <w:tcMar>
              <w:top w:type="dxa" w:w="80"/>
              <w:left w:type="dxa" w:w="130"/>
              <w:bottom w:type="dxa" w:w="80"/>
              <w:right w:type="dxa" w:w="130"/>
            </w:tcMar>
            <w:vAlign w:val="center"/>
          </w:tcPr>
          <w:p>
            <w:r>
              <w:rPr>
                <w:b/>
                <w:bCs/>
                <w:color w:val="FFFFFF"/>
                <w:sz w:val="19"/>
                <w:szCs w:val="19"/>
              </w:rPr>
              <w:t xml:space="preserve">Primary Keyword Target</w:t>
            </w:r>
          </w:p>
        </w:tc>
        <w:tc>
          <w:tcPr>
            <w:tcW w:type="dxa" w:w="2160"/>
            <w:tcBorders>
              <w:top w:val="single" w:color="CBD8D6" w:sz="2"/>
              <w:left w:val="single" w:color="CBD8D6" w:sz="2"/>
              <w:bottom w:val="single" w:color="CBD8D6" w:sz="2"/>
              <w:right w:val="single" w:color="CBD8D6" w:sz="2"/>
            </w:tcBorders>
            <w:shd w:fill="0B4A47" w:val="clear"/>
            <w:tcMar>
              <w:top w:type="dxa" w:w="80"/>
              <w:left w:type="dxa" w:w="130"/>
              <w:bottom w:type="dxa" w:w="80"/>
              <w:right w:type="dxa" w:w="130"/>
            </w:tcMar>
            <w:vAlign w:val="center"/>
          </w:tcPr>
          <w:p>
            <w:r>
              <w:rPr>
                <w:b/>
                <w:bCs/>
                <w:color w:val="FFFFFF"/>
                <w:sz w:val="19"/>
                <w:szCs w:val="19"/>
              </w:rPr>
              <w:t xml:space="preserve">Intent</w:t>
            </w:r>
          </w:p>
        </w:tc>
      </w:tr>
      <w:tr>
        <w:tc>
          <w:tcPr>
            <w:tcW w:type="dxa" w:w="22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#hero</w:t>
            </w:r>
          </w:p>
        </w:tc>
        <w:tc>
          <w:tcPr>
            <w:tcW w:type="dxa" w:w="50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unified AI-agentic cybersecurity platform</w:t>
            </w:r>
          </w:p>
        </w:tc>
        <w:tc>
          <w:tcPr>
            <w:tcW w:type="dxa" w:w="21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Navigational / Transactional</w:t>
            </w:r>
          </w:p>
        </w:tc>
      </w:tr>
      <w:tr>
        <w:tc>
          <w:tcPr>
            <w:tcW w:type="dxa" w:w="22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#problem</w:t>
            </w:r>
          </w:p>
        </w:tc>
        <w:tc>
          <w:tcPr>
            <w:tcW w:type="dxa" w:w="50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why businesses get breached / cost of a data breach</w:t>
            </w:r>
          </w:p>
        </w:tc>
        <w:tc>
          <w:tcPr>
            <w:tcW w:type="dxa" w:w="21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Informational</w:t>
            </w:r>
          </w:p>
        </w:tc>
      </w:tr>
      <w:tr>
        <w:tc>
          <w:tcPr>
            <w:tcW w:type="dxa" w:w="22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#platform (how it works)</w:t>
            </w:r>
          </w:p>
        </w:tc>
        <w:tc>
          <w:tcPr>
            <w:tcW w:type="dxa" w:w="50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AI vCISO, agentic AI cybersecurity platform</w:t>
            </w:r>
          </w:p>
        </w:tc>
        <w:tc>
          <w:tcPr>
            <w:tcW w:type="dxa" w:w="21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Informational / Commercial</w:t>
            </w:r>
          </w:p>
        </w:tc>
      </w:tr>
      <w:tr>
        <w:tc>
          <w:tcPr>
            <w:tcW w:type="dxa" w:w="22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#layers</w:t>
            </w:r>
          </w:p>
        </w:tc>
        <w:tc>
          <w:tcPr>
            <w:tcW w:type="dxa" w:w="50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vulnerability scanning layers, SOC as a service layers</w:t>
            </w:r>
          </w:p>
        </w:tc>
        <w:tc>
          <w:tcPr>
            <w:tcW w:type="dxa" w:w="21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Informational / Commercial</w:t>
            </w:r>
          </w:p>
        </w:tc>
      </w:tr>
      <w:tr>
        <w:tc>
          <w:tcPr>
            <w:tcW w:type="dxa" w:w="22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#risk-translation</w:t>
            </w:r>
          </w:p>
        </w:tc>
        <w:tc>
          <w:tcPr>
            <w:tcW w:type="dxa" w:w="50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cyber risk financial translation</w:t>
            </w:r>
          </w:p>
        </w:tc>
        <w:tc>
          <w:tcPr>
            <w:tcW w:type="dxa" w:w="21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Commercial</w:t>
            </w:r>
          </w:p>
        </w:tc>
      </w:tr>
      <w:tr>
        <w:tc>
          <w:tcPr>
            <w:tcW w:type="dxa" w:w="22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#stack</w:t>
            </w:r>
          </w:p>
        </w:tc>
        <w:tc>
          <w:tcPr>
            <w:tcW w:type="dxa" w:w="50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open-source security tool stack, Claude-powered cybersecurity platform</w:t>
            </w:r>
          </w:p>
        </w:tc>
        <w:tc>
          <w:tcPr>
            <w:tcW w:type="dxa" w:w="21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Informational / Trust</w:t>
            </w:r>
          </w:p>
        </w:tc>
      </w:tr>
      <w:tr>
        <w:tc>
          <w:tcPr>
            <w:tcW w:type="dxa" w:w="22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#pricing</w:t>
            </w:r>
          </w:p>
        </w:tc>
        <w:tc>
          <w:tcPr>
            <w:tcW w:type="dxa" w:w="50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cybersecurity platform pricing, free vulnerability scan pricing</w:t>
            </w:r>
          </w:p>
        </w:tc>
        <w:tc>
          <w:tcPr>
            <w:tcW w:type="dxa" w:w="21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Transactional</w:t>
            </w:r>
          </w:p>
        </w:tc>
      </w:tr>
      <w:tr>
        <w:tc>
          <w:tcPr>
            <w:tcW w:type="dxa" w:w="22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#compare</w:t>
            </w:r>
          </w:p>
        </w:tc>
        <w:tc>
          <w:tcPr>
            <w:tcW w:type="dxa" w:w="50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SOCVault vs Intruder.io, SOCVault vs Detectify, best AI vCISO platform</w:t>
            </w:r>
          </w:p>
        </w:tc>
        <w:tc>
          <w:tcPr>
            <w:tcW w:type="dxa" w:w="21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Commercial</w:t>
            </w:r>
          </w:p>
        </w:tc>
      </w:tr>
      <w:tr>
        <w:tc>
          <w:tcPr>
            <w:tcW w:type="dxa" w:w="22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#compliance</w:t>
            </w:r>
          </w:p>
        </w:tc>
        <w:tc>
          <w:tcPr>
            <w:tcW w:type="dxa" w:w="50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PCI-DSS GDPR ISO 27001 compliance scanner</w:t>
            </w:r>
          </w:p>
        </w:tc>
        <w:tc>
          <w:tcPr>
            <w:tcW w:type="dxa" w:w="21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Informational / Commercial</w:t>
            </w:r>
          </w:p>
        </w:tc>
      </w:tr>
      <w:tr>
        <w:tc>
          <w:tcPr>
            <w:tcW w:type="dxa" w:w="22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#regions</w:t>
            </w:r>
          </w:p>
        </w:tc>
        <w:tc>
          <w:tcPr>
            <w:tcW w:type="dxa" w:w="50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unified cybersecurity platform UK Pakistan Middle East Africa</w:t>
            </w:r>
          </w:p>
        </w:tc>
        <w:tc>
          <w:tcPr>
            <w:tcW w:type="dxa" w:w="21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Navigational / Local</w:t>
            </w:r>
          </w:p>
        </w:tc>
      </w:tr>
      <w:tr>
        <w:tc>
          <w:tcPr>
            <w:tcW w:type="dxa" w:w="22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#faq</w:t>
            </w:r>
          </w:p>
        </w:tc>
        <w:tc>
          <w:tcPr>
            <w:tcW w:type="dxa" w:w="50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long-tail question keywords (Sections 4.2–4.5 clusters, phrased as questions)</w:t>
            </w:r>
          </w:p>
        </w:tc>
        <w:tc>
          <w:tcPr>
            <w:tcW w:type="dxa" w:w="21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Informational / AEO</w:t>
            </w:r>
          </w:p>
        </w:tc>
      </w:tr>
      <w:tr>
        <w:tc>
          <w:tcPr>
            <w:tcW w:type="dxa" w:w="22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#request-access</w:t>
            </w:r>
          </w:p>
        </w:tc>
        <w:tc>
          <w:tcPr>
            <w:tcW w:type="dxa" w:w="50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academic security research access, free scan for researchers</w:t>
            </w:r>
          </w:p>
        </w:tc>
        <w:tc>
          <w:tcPr>
            <w:tcW w:type="dxa" w:w="21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Transactional (niche)</w:t>
            </w:r>
          </w:p>
        </w:tc>
      </w:tr>
    </w:tbl>
    <w:p>
      <w:pPr>
        <w:pStyle w:val="Heading1"/>
      </w:pPr>
      <w:r>
        <w:t xml:space="preserve">5. Geographic &amp; Regional Keyword Variations</w:t>
      </w:r>
    </w:p>
    <w:p>
      <w:pPr>
        <w:spacing w:after="160"/>
      </w:pPr>
      <w:r>
        <w:t xml:space="preserve">SOCVault is UK-headquartered with an engineering hub in Pakistan and active go-to-market across Central Asia, the Middle East, Africa, Europe, the USA and Canada. Append region/country modifiers to commercial and transactional keyword sets — do not create thin, duplicate pages per country; instead use these as natural variations inside FAQ answers, the Regions section, and future local landing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8D6" w:sz="2"/>
              <w:left w:val="single" w:color="CBD8D6" w:sz="2"/>
              <w:bottom w:val="single" w:color="CBD8D6" w:sz="2"/>
              <w:right w:val="single" w:color="CBD8D6" w:sz="2"/>
            </w:tcBorders>
            <w:shd w:fill="0B4A47" w:val="clear"/>
            <w:tcMar>
              <w:top w:type="dxa" w:w="80"/>
              <w:left w:type="dxa" w:w="130"/>
              <w:bottom w:type="dxa" w:w="80"/>
              <w:right w:type="dxa" w:w="130"/>
            </w:tcMar>
            <w:vAlign w:val="center"/>
          </w:tcPr>
          <w:p>
            <w:r>
              <w:rPr>
                <w:b/>
                <w:bCs/>
                <w:color w:val="FFFFFF"/>
                <w:sz w:val="19"/>
                <w:szCs w:val="19"/>
              </w:rPr>
              <w:t xml:space="preserve">Region</w:t>
            </w:r>
          </w:p>
        </w:tc>
        <w:tc>
          <w:tcPr>
            <w:tcW w:type="dxa" w:w="6960"/>
            <w:tcBorders>
              <w:top w:val="single" w:color="CBD8D6" w:sz="2"/>
              <w:left w:val="single" w:color="CBD8D6" w:sz="2"/>
              <w:bottom w:val="single" w:color="CBD8D6" w:sz="2"/>
              <w:right w:val="single" w:color="CBD8D6" w:sz="2"/>
            </w:tcBorders>
            <w:shd w:fill="0B4A47" w:val="clear"/>
            <w:tcMar>
              <w:top w:type="dxa" w:w="80"/>
              <w:left w:type="dxa" w:w="130"/>
              <w:bottom w:type="dxa" w:w="80"/>
              <w:right w:type="dxa" w:w="130"/>
            </w:tcMar>
            <w:vAlign w:val="center"/>
          </w:tcPr>
          <w:p>
            <w:r>
              <w:rPr>
                <w:b/>
                <w:bCs/>
                <w:color w:val="FFFFFF"/>
                <w:sz w:val="19"/>
                <w:szCs w:val="19"/>
              </w:rPr>
              <w:t xml:space="preserve">Keyword Variations</w:t>
            </w:r>
          </w:p>
        </w:tc>
      </w:tr>
      <w:tr>
        <w:tc>
          <w:tcPr>
            <w:tcW w:type="dxa" w:w="24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United Kingdom (HQ)</w:t>
            </w:r>
          </w:p>
        </w:tc>
        <w:tc>
          <w:tcPr>
            <w:tcW w:type="dxa" w:w="69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cybersecurity platform UK, AI vCISO platform UK, Cyber Essentials Plus scanner UK, UK GDPR vulnerability scanner</w:t>
            </w:r>
          </w:p>
        </w:tc>
      </w:tr>
      <w:tr>
        <w:tc>
          <w:tcPr>
            <w:tcW w:type="dxa" w:w="2400"/>
            <w:tcBorders>
              <w:top w:val="single" w:color="CBD8D6" w:sz="2"/>
              <w:left w:val="single" w:color="CBD8D6" w:sz="2"/>
              <w:bottom w:val="single" w:color="CBD8D6" w:sz="2"/>
              <w:right w:val="single" w:color="CBD8D6" w:sz="2"/>
            </w:tcBorders>
            <w:shd w:fill="F4F8F7" w:val="clear"/>
            <w:tcMar>
              <w:top w:type="dxa" w:w="80"/>
              <w:left w:type="dxa" w:w="130"/>
              <w:bottom w:type="dxa" w:w="80"/>
              <w:right w:type="dxa" w:w="130"/>
            </w:tcMar>
            <w:vAlign w:val="center"/>
          </w:tcPr>
          <w:p>
            <w:r>
              <w:rPr>
                <w:b w:val="false"/>
                <w:bCs w:val="false"/>
                <w:sz w:val="19"/>
                <w:szCs w:val="19"/>
              </w:rPr>
              <w:t xml:space="preserve">Pakistan (Engineering Hub)</w:t>
            </w:r>
          </w:p>
        </w:tc>
        <w:tc>
          <w:tcPr>
            <w:tcW w:type="dxa" w:w="6960"/>
            <w:tcBorders>
              <w:top w:val="single" w:color="CBD8D6" w:sz="2"/>
              <w:left w:val="single" w:color="CBD8D6" w:sz="2"/>
              <w:bottom w:val="single" w:color="CBD8D6" w:sz="2"/>
              <w:right w:val="single" w:color="CBD8D6" w:sz="2"/>
            </w:tcBorders>
            <w:shd w:fill="F4F8F7" w:val="clear"/>
            <w:tcMar>
              <w:top w:type="dxa" w:w="80"/>
              <w:left w:type="dxa" w:w="130"/>
              <w:bottom w:type="dxa" w:w="80"/>
              <w:right w:type="dxa" w:w="130"/>
            </w:tcMar>
            <w:vAlign w:val="center"/>
          </w:tcPr>
          <w:p>
            <w:r>
              <w:rPr>
                <w:b w:val="false"/>
                <w:bCs w:val="false"/>
                <w:sz w:val="19"/>
                <w:szCs w:val="19"/>
              </w:rPr>
              <w:t xml:space="preserve">cybersecurity company Pakistan, vulnerability assessment services Pakistan, SOC as a service Pakistan, AI cybersecurity platform Karachi Lahore Islamabad</w:t>
            </w:r>
          </w:p>
        </w:tc>
      </w:tr>
      <w:tr>
        <w:tc>
          <w:tcPr>
            <w:tcW w:type="dxa" w:w="24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Middle East (UAE, Saudi Arabia, Qatar)</w:t>
            </w:r>
          </w:p>
        </w:tc>
        <w:tc>
          <w:tcPr>
            <w:tcW w:type="dxa" w:w="69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cybersecurity platform UAE, SOC as a service Dubai, vulnerability scanning Saudi Arabia, cybersecurity compliance Qatar</w:t>
            </w:r>
          </w:p>
        </w:tc>
      </w:tr>
      <w:tr>
        <w:tc>
          <w:tcPr>
            <w:tcW w:type="dxa" w:w="2400"/>
            <w:tcBorders>
              <w:top w:val="single" w:color="CBD8D6" w:sz="2"/>
              <w:left w:val="single" w:color="CBD8D6" w:sz="2"/>
              <w:bottom w:val="single" w:color="CBD8D6" w:sz="2"/>
              <w:right w:val="single" w:color="CBD8D6" w:sz="2"/>
            </w:tcBorders>
            <w:shd w:fill="F4F8F7" w:val="clear"/>
            <w:tcMar>
              <w:top w:type="dxa" w:w="80"/>
              <w:left w:type="dxa" w:w="130"/>
              <w:bottom w:type="dxa" w:w="80"/>
              <w:right w:type="dxa" w:w="130"/>
            </w:tcMar>
            <w:vAlign w:val="center"/>
          </w:tcPr>
          <w:p>
            <w:r>
              <w:rPr>
                <w:b w:val="false"/>
                <w:bCs w:val="false"/>
                <w:sz w:val="19"/>
                <w:szCs w:val="19"/>
              </w:rPr>
              <w:t xml:space="preserve">Africa</w:t>
            </w:r>
          </w:p>
        </w:tc>
        <w:tc>
          <w:tcPr>
            <w:tcW w:type="dxa" w:w="6960"/>
            <w:tcBorders>
              <w:top w:val="single" w:color="CBD8D6" w:sz="2"/>
              <w:left w:val="single" w:color="CBD8D6" w:sz="2"/>
              <w:bottom w:val="single" w:color="CBD8D6" w:sz="2"/>
              <w:right w:val="single" w:color="CBD8D6" w:sz="2"/>
            </w:tcBorders>
            <w:shd w:fill="F4F8F7" w:val="clear"/>
            <w:tcMar>
              <w:top w:type="dxa" w:w="80"/>
              <w:left w:type="dxa" w:w="130"/>
              <w:bottom w:type="dxa" w:w="80"/>
              <w:right w:type="dxa" w:w="130"/>
            </w:tcMar>
            <w:vAlign w:val="center"/>
          </w:tcPr>
          <w:p>
            <w:r>
              <w:rPr>
                <w:b w:val="false"/>
                <w:bCs w:val="false"/>
                <w:sz w:val="19"/>
                <w:szCs w:val="19"/>
              </w:rPr>
              <w:t xml:space="preserve">cybersecurity platform Africa, AI vCISO platform Africa, affordable SOC service Africa, vulnerability scanner South Africa Kenya Nigeria</w:t>
            </w:r>
          </w:p>
        </w:tc>
      </w:tr>
      <w:tr>
        <w:tc>
          <w:tcPr>
            <w:tcW w:type="dxa" w:w="24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Europe</w:t>
            </w:r>
          </w:p>
        </w:tc>
        <w:tc>
          <w:tcPr>
            <w:tcW w:type="dxa" w:w="69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EU GDPR vulnerability scanner, cybersecurity platform Europe, unified cybersecurity platform Germany Netherlands Ireland</w:t>
            </w:r>
          </w:p>
        </w:tc>
      </w:tr>
      <w:tr>
        <w:tc>
          <w:tcPr>
            <w:tcW w:type="dxa" w:w="2400"/>
            <w:tcBorders>
              <w:top w:val="single" w:color="CBD8D6" w:sz="2"/>
              <w:left w:val="single" w:color="CBD8D6" w:sz="2"/>
              <w:bottom w:val="single" w:color="CBD8D6" w:sz="2"/>
              <w:right w:val="single" w:color="CBD8D6" w:sz="2"/>
            </w:tcBorders>
            <w:shd w:fill="F4F8F7" w:val="clear"/>
            <w:tcMar>
              <w:top w:type="dxa" w:w="80"/>
              <w:left w:type="dxa" w:w="130"/>
              <w:bottom w:type="dxa" w:w="80"/>
              <w:right w:type="dxa" w:w="130"/>
            </w:tcMar>
            <w:vAlign w:val="center"/>
          </w:tcPr>
          <w:p>
            <w:r>
              <w:rPr>
                <w:b w:val="false"/>
                <w:bCs w:val="false"/>
                <w:sz w:val="19"/>
                <w:szCs w:val="19"/>
              </w:rPr>
              <w:t xml:space="preserve">United States</w:t>
            </w:r>
          </w:p>
        </w:tc>
        <w:tc>
          <w:tcPr>
            <w:tcW w:type="dxa" w:w="6960"/>
            <w:tcBorders>
              <w:top w:val="single" w:color="CBD8D6" w:sz="2"/>
              <w:left w:val="single" w:color="CBD8D6" w:sz="2"/>
              <w:bottom w:val="single" w:color="CBD8D6" w:sz="2"/>
              <w:right w:val="single" w:color="CBD8D6" w:sz="2"/>
            </w:tcBorders>
            <w:shd w:fill="F4F8F7" w:val="clear"/>
            <w:tcMar>
              <w:top w:type="dxa" w:w="80"/>
              <w:left w:type="dxa" w:w="130"/>
              <w:bottom w:type="dxa" w:w="80"/>
              <w:right w:type="dxa" w:w="130"/>
            </w:tcMar>
            <w:vAlign w:val="center"/>
          </w:tcPr>
          <w:p>
            <w:r>
              <w:rPr>
                <w:b w:val="false"/>
                <w:bCs w:val="false"/>
                <w:sz w:val="19"/>
                <w:szCs w:val="19"/>
              </w:rPr>
              <w:t xml:space="preserve">AI vCISO platform USA, agentic AI SOC as a service US, affordable VAPT platform United States</w:t>
            </w:r>
          </w:p>
        </w:tc>
      </w:tr>
      <w:tr>
        <w:tc>
          <w:tcPr>
            <w:tcW w:type="dxa" w:w="24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Canada</w:t>
            </w:r>
          </w:p>
        </w:tc>
        <w:tc>
          <w:tcPr>
            <w:tcW w:type="dxa" w:w="69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unified cybersecurity platform Canada, SOC as a service Canada, AI vCISO platform Canada</w:t>
            </w:r>
          </w:p>
        </w:tc>
      </w:tr>
      <w:tr>
        <w:tc>
          <w:tcPr>
            <w:tcW w:type="dxa" w:w="2400"/>
            <w:tcBorders>
              <w:top w:val="single" w:color="CBD8D6" w:sz="2"/>
              <w:left w:val="single" w:color="CBD8D6" w:sz="2"/>
              <w:bottom w:val="single" w:color="CBD8D6" w:sz="2"/>
              <w:right w:val="single" w:color="CBD8D6" w:sz="2"/>
            </w:tcBorders>
            <w:shd w:fill="F4F8F7" w:val="clear"/>
            <w:tcMar>
              <w:top w:type="dxa" w:w="80"/>
              <w:left w:type="dxa" w:w="130"/>
              <w:bottom w:type="dxa" w:w="80"/>
              <w:right w:type="dxa" w:w="130"/>
            </w:tcMar>
            <w:vAlign w:val="center"/>
          </w:tcPr>
          <w:p>
            <w:r>
              <w:rPr>
                <w:b w:val="false"/>
                <w:bCs w:val="false"/>
                <w:sz w:val="19"/>
                <w:szCs w:val="19"/>
              </w:rPr>
              <w:t xml:space="preserve">Central Asia</w:t>
            </w:r>
          </w:p>
        </w:tc>
        <w:tc>
          <w:tcPr>
            <w:tcW w:type="dxa" w:w="6960"/>
            <w:tcBorders>
              <w:top w:val="single" w:color="CBD8D6" w:sz="2"/>
              <w:left w:val="single" w:color="CBD8D6" w:sz="2"/>
              <w:bottom w:val="single" w:color="CBD8D6" w:sz="2"/>
              <w:right w:val="single" w:color="CBD8D6" w:sz="2"/>
            </w:tcBorders>
            <w:shd w:fill="F4F8F7" w:val="clear"/>
            <w:tcMar>
              <w:top w:type="dxa" w:w="80"/>
              <w:left w:type="dxa" w:w="130"/>
              <w:bottom w:type="dxa" w:w="80"/>
              <w:right w:type="dxa" w:w="130"/>
            </w:tcMar>
            <w:vAlign w:val="center"/>
          </w:tcPr>
          <w:p>
            <w:r>
              <w:rPr>
                <w:b w:val="false"/>
                <w:bCs w:val="false"/>
                <w:sz w:val="19"/>
                <w:szCs w:val="19"/>
              </w:rPr>
              <w:t xml:space="preserve">cybersecurity platform Central Asia, unified security software Kazakhstan Uzbekistan</w:t>
            </w:r>
          </w:p>
        </w:tc>
      </w:tr>
    </w:tbl>
    <w:p>
      <w:pPr>
        <w:pStyle w:val="Heading1"/>
      </w:pPr>
      <w:r>
        <w:t xml:space="preserve">6. Technical SEO &amp; Schema Markup</w:t>
      </w:r>
    </w:p>
    <w:p>
      <w:pPr>
        <w:pStyle w:val="Heading2"/>
      </w:pPr>
      <w:r>
        <w:t xml:space="preserve">6.1 On-page technical checklist</w:t>
      </w:r>
    </w:p>
    <w:p>
      <w:pPr>
        <w:pStyle w:val="ListParagraph"/>
        <w:numPr>
          <w:ilvl w:val="0"/>
          <w:numId w:val="2"/>
        </w:numPr>
        <w:spacing w:after="90"/>
      </w:pPr>
      <w:r>
        <w:t xml:space="preserve">Single canonical URL with a clean, descriptive path (e.g. https://socvault.io/).</w:t>
      </w:r>
    </w:p>
    <w:p>
      <w:pPr>
        <w:pStyle w:val="ListParagraph"/>
        <w:numPr>
          <w:ilvl w:val="0"/>
          <w:numId w:val="2"/>
        </w:numPr>
        <w:spacing w:after="90"/>
      </w:pPr>
      <w:r>
        <w:t xml:space="preserve">Title tag ≤ 60 characters, primary keyword near the start: "SOCVault — Unified AI-Agentic Cybersecurity Platform."</w:t>
      </w:r>
    </w:p>
    <w:p>
      <w:pPr>
        <w:pStyle w:val="ListParagraph"/>
        <w:numPr>
          <w:ilvl w:val="0"/>
          <w:numId w:val="2"/>
        </w:numPr>
        <w:spacing w:after="90"/>
      </w:pPr>
      <w:r>
        <w:t xml:space="preserve">Meta description ≤ 155 characters, includes primary keyword and a CTA verb.</w:t>
      </w:r>
    </w:p>
    <w:p>
      <w:pPr>
        <w:pStyle w:val="ListParagraph"/>
        <w:numPr>
          <w:ilvl w:val="0"/>
          <w:numId w:val="2"/>
        </w:numPr>
        <w:spacing w:after="90"/>
      </w:pPr>
      <w:r>
        <w:t xml:space="preserve">Descriptive, keyword-bearing anchor IDs for every section (matches Section 4.4) so they are deep-linkable and crawlable as fragments.</w:t>
      </w:r>
    </w:p>
    <w:p>
      <w:pPr>
        <w:pStyle w:val="ListParagraph"/>
        <w:numPr>
          <w:ilvl w:val="0"/>
          <w:numId w:val="2"/>
        </w:numPr>
        <w:spacing w:after="90"/>
      </w:pPr>
      <w:r>
        <w:t xml:space="preserve">Image alt text describes function, not decoration: "SOCVault eight-layer scanning architecture diagram," not "hero image."</w:t>
      </w:r>
    </w:p>
    <w:p>
      <w:pPr>
        <w:pStyle w:val="ListParagraph"/>
        <w:numPr>
          <w:ilvl w:val="0"/>
          <w:numId w:val="2"/>
        </w:numPr>
        <w:spacing w:after="90"/>
      </w:pPr>
      <w:r>
        <w:t xml:space="preserve">Mobile-first layout: tap targets ≥ 44px, no horizontal scroll, Core Web Vitals (LCP, INP, CLS) within Google's "good" thresholds.</w:t>
      </w:r>
    </w:p>
    <w:p>
      <w:pPr>
        <w:pStyle w:val="ListParagraph"/>
        <w:numPr>
          <w:ilvl w:val="0"/>
          <w:numId w:val="2"/>
        </w:numPr>
        <w:spacing w:after="90"/>
      </w:pPr>
      <w:r>
        <w:t xml:space="preserve">Internal links from every section back to the hero CTA and forward to the FAQ; external links only to primary sources (IBM, Verizon DBIR, ICO, UK Gov) for cited statistics.</w:t>
      </w:r>
    </w:p>
    <w:p>
      <w:pPr>
        <w:pStyle w:val="Heading2"/>
      </w:pPr>
      <w:r>
        <w:t xml:space="preserve">6.2 Structured data (JSON-LD) to implement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8D6" w:sz="2"/>
              <w:left w:val="single" w:color="CBD8D6" w:sz="2"/>
              <w:bottom w:val="single" w:color="CBD8D6" w:sz="2"/>
              <w:right w:val="single" w:color="CBD8D6" w:sz="2"/>
            </w:tcBorders>
            <w:shd w:fill="0B4A47" w:val="clear"/>
            <w:tcMar>
              <w:top w:type="dxa" w:w="80"/>
              <w:left w:type="dxa" w:w="130"/>
              <w:bottom w:type="dxa" w:w="80"/>
              <w:right w:type="dxa" w:w="130"/>
            </w:tcMar>
            <w:vAlign w:val="center"/>
          </w:tcPr>
          <w:p>
            <w:r>
              <w:rPr>
                <w:b/>
                <w:bCs/>
                <w:color w:val="FFFFFF"/>
                <w:sz w:val="19"/>
                <w:szCs w:val="19"/>
              </w:rPr>
              <w:t xml:space="preserve">Schema Type</w:t>
            </w:r>
          </w:p>
        </w:tc>
        <w:tc>
          <w:tcPr>
            <w:tcW w:type="dxa" w:w="6960"/>
            <w:tcBorders>
              <w:top w:val="single" w:color="CBD8D6" w:sz="2"/>
              <w:left w:val="single" w:color="CBD8D6" w:sz="2"/>
              <w:bottom w:val="single" w:color="CBD8D6" w:sz="2"/>
              <w:right w:val="single" w:color="CBD8D6" w:sz="2"/>
            </w:tcBorders>
            <w:shd w:fill="0B4A47" w:val="clear"/>
            <w:tcMar>
              <w:top w:type="dxa" w:w="80"/>
              <w:left w:type="dxa" w:w="130"/>
              <w:bottom w:type="dxa" w:w="80"/>
              <w:right w:type="dxa" w:w="130"/>
            </w:tcMar>
            <w:vAlign w:val="center"/>
          </w:tcPr>
          <w:p>
            <w:r>
              <w:rPr>
                <w:b/>
                <w:bCs/>
                <w:color w:val="FFFFFF"/>
                <w:sz w:val="19"/>
                <w:szCs w:val="19"/>
              </w:rPr>
              <w:t xml:space="preserve">Purpose</w:t>
            </w:r>
          </w:p>
        </w:tc>
      </w:tr>
      <w:tr>
        <w:tc>
          <w:tcPr>
            <w:tcW w:type="dxa" w:w="24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Organization</w:t>
            </w:r>
          </w:p>
        </w:tc>
        <w:tc>
          <w:tcPr>
            <w:tcW w:type="dxa" w:w="69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Establishes SOCVault Ltd as an entity: legal name, logo, founding location, sameAs social profiles.</w:t>
            </w:r>
          </w:p>
        </w:tc>
      </w:tr>
      <w:tr>
        <w:tc>
          <w:tcPr>
            <w:tcW w:type="dxa" w:w="24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WebSite + SearchAction</w:t>
            </w:r>
          </w:p>
        </w:tc>
        <w:tc>
          <w:tcPr>
            <w:tcW w:type="dxa" w:w="69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Enables sitelinks search box eligibility.</w:t>
            </w:r>
          </w:p>
        </w:tc>
      </w:tr>
      <w:tr>
        <w:tc>
          <w:tcPr>
            <w:tcW w:type="dxa" w:w="24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SoftwareApplication / Product</w:t>
            </w:r>
          </w:p>
        </w:tc>
        <w:tc>
          <w:tcPr>
            <w:tcW w:type="dxa" w:w="69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Describes the platform itself, applicationCategory: SecurityApplication, with aggregateRating omitted until real reviews exist (never fabricate ratings).</w:t>
            </w:r>
          </w:p>
        </w:tc>
      </w:tr>
      <w:tr>
        <w:tc>
          <w:tcPr>
            <w:tcW w:type="dxa" w:w="24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Offer (nested in Product)</w:t>
            </w:r>
          </w:p>
        </w:tc>
        <w:tc>
          <w:tcPr>
            <w:tcW w:type="dxa" w:w="69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Encodes each pricing tier (Free, Web VAPT, Mobile, Cloud, SOC Pro, Enterprise) as a structured offer.</w:t>
            </w:r>
          </w:p>
        </w:tc>
      </w:tr>
      <w:tr>
        <w:tc>
          <w:tcPr>
            <w:tcW w:type="dxa" w:w="24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FAQPage</w:t>
            </w:r>
          </w:p>
        </w:tc>
        <w:tc>
          <w:tcPr>
            <w:tcW w:type="dxa" w:w="69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Every FAQ question/answer pair, matched verbatim to the visible on-page text — this is the single highest-leverage schema for AI answer engines.</w:t>
            </w:r>
          </w:p>
        </w:tc>
      </w:tr>
      <w:tr>
        <w:tc>
          <w:tcPr>
            <w:tcW w:type="dxa" w:w="24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BreadcrumbList</w:t>
            </w:r>
          </w:p>
        </w:tc>
        <w:tc>
          <w:tcPr>
            <w:tcW w:type="dxa" w:w="69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Applied once supporting pages (Privacy, Data Policy, User Policy, Research) exist, to clarify site hierarchy.</w:t>
            </w:r>
          </w:p>
        </w:tc>
      </w:tr>
    </w:tbl>
    <w:p>
      <w:pPr>
        <w:spacing w:after="200" w:before="60"/>
      </w:pPr>
      <w:r>
        <w:rPr>
          <w:i/>
          <w:iCs/>
          <w:color w:val="595959"/>
          <w:sz w:val="20"/>
          <w:szCs w:val="20"/>
        </w:rPr>
        <w:t xml:space="preserve">Rule: structured data must always match visible page content exactly. Schema that asserts facts not present on the page (inflated ratings, fake review counts, unstated prices) is a Google spam violation and will also mislead AI answer engines that trust schema as ground truth.</w:t>
      </w:r>
    </w:p>
    <w:p>
      <w:pPr>
        <w:pStyle w:val="Heading1"/>
      </w:pPr>
      <w:r>
        <w:t xml:space="preserve">7. Off-Page SEO &amp; Anchor Text</w:t>
      </w:r>
    </w:p>
    <w:p>
      <w:pPr>
        <w:spacing w:after="160"/>
      </w:pPr>
      <w:r>
        <w:t xml:space="preserve">Use for partner directories, AWS/Anthropic startup programme listings, PR mentions, guest posts, and portfolio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8D6" w:sz="2"/>
              <w:left w:val="single" w:color="CBD8D6" w:sz="2"/>
              <w:bottom w:val="single" w:color="CBD8D6" w:sz="2"/>
              <w:right w:val="single" w:color="CBD8D6" w:sz="2"/>
            </w:tcBorders>
            <w:shd w:fill="0B4A47" w:val="clear"/>
            <w:tcMar>
              <w:top w:type="dxa" w:w="80"/>
              <w:left w:type="dxa" w:w="130"/>
              <w:bottom w:type="dxa" w:w="80"/>
              <w:right w:type="dxa" w:w="130"/>
            </w:tcMar>
            <w:vAlign w:val="center"/>
          </w:tcPr>
          <w:p>
            <w:r>
              <w:rPr>
                <w:b/>
                <w:bCs/>
                <w:color w:val="FFFFFF"/>
                <w:sz w:val="19"/>
                <w:szCs w:val="19"/>
              </w:rPr>
              <w:t xml:space="preserve">Context</w:t>
            </w:r>
          </w:p>
        </w:tc>
        <w:tc>
          <w:tcPr>
            <w:tcW w:type="dxa" w:w="6960"/>
            <w:tcBorders>
              <w:top w:val="single" w:color="CBD8D6" w:sz="2"/>
              <w:left w:val="single" w:color="CBD8D6" w:sz="2"/>
              <w:bottom w:val="single" w:color="CBD8D6" w:sz="2"/>
              <w:right w:val="single" w:color="CBD8D6" w:sz="2"/>
            </w:tcBorders>
            <w:shd w:fill="0B4A47" w:val="clear"/>
            <w:tcMar>
              <w:top w:type="dxa" w:w="80"/>
              <w:left w:type="dxa" w:w="130"/>
              <w:bottom w:type="dxa" w:w="80"/>
              <w:right w:type="dxa" w:w="130"/>
            </w:tcMar>
            <w:vAlign w:val="center"/>
          </w:tcPr>
          <w:p>
            <w:r>
              <w:rPr>
                <w:b/>
                <w:bCs/>
                <w:color w:val="FFFFFF"/>
                <w:sz w:val="19"/>
                <w:szCs w:val="19"/>
              </w:rPr>
              <w:t xml:space="preserve">Safe Anchor Text Variations</w:t>
            </w:r>
          </w:p>
        </w:tc>
      </w:tr>
      <w:tr>
        <w:tc>
          <w:tcPr>
            <w:tcW w:type="dxa" w:w="24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General brand</w:t>
            </w:r>
          </w:p>
        </w:tc>
        <w:tc>
          <w:tcPr>
            <w:tcW w:type="dxa" w:w="69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SOCVault, SOCVault cybersecurity platform, SOCVault AI cybersecurity</w:t>
            </w:r>
          </w:p>
        </w:tc>
      </w:tr>
      <w:tr>
        <w:tc>
          <w:tcPr>
            <w:tcW w:type="dxa" w:w="24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Platform / category</w:t>
            </w:r>
          </w:p>
        </w:tc>
        <w:tc>
          <w:tcPr>
            <w:tcW w:type="dxa" w:w="69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unified AI cybersecurity platform, AI-enabled SOC as a service, agentic AI vCISO platform</w:t>
            </w:r>
          </w:p>
        </w:tc>
      </w:tr>
      <w:tr>
        <w:tc>
          <w:tcPr>
            <w:tcW w:type="dxa" w:w="24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Compliance angle</w:t>
            </w:r>
          </w:p>
        </w:tc>
        <w:tc>
          <w:tcPr>
            <w:tcW w:type="dxa" w:w="69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PCI-DSS and GDPR compliance scanner, ISO 27001 readiness platform</w:t>
            </w:r>
          </w:p>
        </w:tc>
      </w:tr>
      <w:tr>
        <w:tc>
          <w:tcPr>
            <w:tcW w:type="dxa" w:w="24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Pricing / freemium angle</w:t>
            </w:r>
          </w:p>
        </w:tc>
        <w:tc>
          <w:tcPr>
            <w:tcW w:type="dxa" w:w="69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free vulnerability scan platform, affordable AI-agentic cybersecurity platform</w:t>
            </w:r>
          </w:p>
        </w:tc>
      </w:tr>
      <w:tr>
        <w:tc>
          <w:tcPr>
            <w:tcW w:type="dxa" w:w="24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Tech-stack / open-source angle</w:t>
            </w:r>
          </w:p>
        </w:tc>
        <w:tc>
          <w:tcPr>
            <w:tcW w:type="dxa" w:w="69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open-source security tool stack, Claude-powered AI vCISO, auditable AI security platform</w:t>
            </w:r>
          </w:p>
        </w:tc>
      </w:tr>
      <w:tr>
        <w:tc>
          <w:tcPr>
            <w:tcW w:type="dxa" w:w="24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Technology partnership</w:t>
            </w:r>
          </w:p>
        </w:tc>
        <w:tc>
          <w:tcPr>
            <w:tcW w:type="dxa" w:w="69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built on Wazuh and Claude AI, Anthropic-powered cybersecurity platform</w:t>
            </w:r>
          </w:p>
        </w:tc>
      </w:tr>
    </w:tbl>
    <w:p>
      <w:pPr>
        <w:pStyle w:val="ListParagraph"/>
        <w:numPr>
          <w:ilvl w:val="0"/>
          <w:numId w:val="2"/>
        </w:numPr>
        <w:spacing w:after="90"/>
      </w:pPr>
      <w:r>
        <w:t xml:space="preserve">Mix branded and descriptive anchors; never repeat the exact same anchor text across more than roughly a quarter of backlinks.</w:t>
      </w:r>
    </w:p>
    <w:p>
      <w:pPr>
        <w:pStyle w:val="ListParagraph"/>
        <w:numPr>
          <w:ilvl w:val="0"/>
          <w:numId w:val="2"/>
        </w:numPr>
        <w:spacing w:after="90"/>
      </w:pPr>
      <w:r>
        <w:t xml:space="preserve">Prioritise listings on AWS Partner Network, Anthropic ecosystem pages, and recognised cybersecurity directories over low-quality link farms.</w:t>
      </w:r>
    </w:p>
    <w:p>
      <w:pPr>
        <w:pStyle w:val="Heading1"/>
      </w:pPr>
      <w:r>
        <w:t xml:space="preserve">8. AEO, GEO &amp; AIO Optimization (Answer &amp; AI Engines)</w:t>
      </w:r>
    </w:p>
    <w:p>
      <w:pPr>
        <w:spacing w:after="160"/>
      </w:pPr>
      <w:r>
        <w:t xml:space="preserve">Classic SEO optimises for ranking in a list of blue links. AEO (Answer Engine Optimization), GEO (Generative Engine Optimization) and AIO (AI Optimization) optimise for being the source an AI assistant quotes or paraphrases directly. SOCVault should write every section to satisfy both simultaneously.</w:t>
      </w:r>
    </w:p>
    <w:p>
      <w:pPr>
        <w:pStyle w:val="Heading2"/>
      </w:pPr>
      <w:r>
        <w:t xml:space="preserve">8.1 Core principles</w:t>
      </w:r>
    </w:p>
    <w:p>
      <w:pPr>
        <w:pStyle w:val="ListParagraph"/>
        <w:numPr>
          <w:ilvl w:val="0"/>
          <w:numId w:val="2"/>
        </w:numPr>
        <w:spacing w:after="90"/>
      </w:pPr>
      <w:r>
        <w:t xml:space="preserve">Answer first, explain second: open each H2/H3 section with a single declarative sentence that fully answers the implied question, then elaborate. AI systems extract the first 1–2 sentences after a heading far more often than buried conclusions.</w:t>
      </w:r>
    </w:p>
    <w:p>
      <w:pPr>
        <w:pStyle w:val="ListParagraph"/>
        <w:numPr>
          <w:ilvl w:val="0"/>
          <w:numId w:val="2"/>
        </w:numPr>
        <w:spacing w:after="90"/>
      </w:pPr>
      <w:r>
        <w:t xml:space="preserve">Make claims extractable as standalone facts: "SOCVault covers 8 attack-surface layers in one platform; the closest point-solution competitor covers 2" is quotable on its own, with no pronouns or context required.</w:t>
      </w:r>
    </w:p>
    <w:p>
      <w:pPr>
        <w:pStyle w:val="ListParagraph"/>
        <w:numPr>
          <w:ilvl w:val="0"/>
          <w:numId w:val="2"/>
        </w:numPr>
        <w:spacing w:after="90"/>
      </w:pPr>
      <w:r>
        <w:t xml:space="preserve">Use real numbers with sources, not vague ranges: "$4.45M average breach cost for a smaller business (IBM, 2024)" outperforms "breaches are very costly" in both citation rate and trust.</w:t>
      </w:r>
    </w:p>
    <w:p>
      <w:pPr>
        <w:pStyle w:val="ListParagraph"/>
        <w:numPr>
          <w:ilvl w:val="0"/>
          <w:numId w:val="2"/>
        </w:numPr>
        <w:spacing w:after="90"/>
      </w:pPr>
      <w:r>
        <w:t xml:space="preserve">Structure comparisons as explicit tables (Section 4.4 / #compare), since AI crawlers parse and re-serve tabular data more reliably than prose comparisons.</w:t>
      </w:r>
    </w:p>
    <w:p>
      <w:pPr>
        <w:pStyle w:val="ListParagraph"/>
        <w:numPr>
          <w:ilvl w:val="0"/>
          <w:numId w:val="2"/>
        </w:numPr>
        <w:spacing w:after="90"/>
      </w:pPr>
      <w:r>
        <w:t xml:space="preserve">FAQ questions should be phrased exactly as a user or an AI assistant would phrase them ("What does SOCVault cost?" not "Pricing Information") — this is the single biggest AEO lever available on a marketing page.</w:t>
      </w:r>
    </w:p>
    <w:p>
      <w:pPr>
        <w:pStyle w:val="Heading2"/>
      </w:pPr>
      <w:r>
        <w:t xml:space="preserve">8.2 GEO-specific tactics (being cited inside AI-generated answers)</w:t>
      </w:r>
    </w:p>
    <w:p>
      <w:pPr>
        <w:pStyle w:val="ListParagraph"/>
        <w:numPr>
          <w:ilvl w:val="0"/>
          <w:numId w:val="2"/>
        </w:numPr>
        <w:spacing w:after="90"/>
      </w:pPr>
      <w:r>
        <w:t xml:space="preserve">Maintain absolute factual consistency for company facts (legal name, HQ, founding year, pricing) across the website, schema, and any third-party listing — generative engines cross-check sources and downgrade contradictory ones.</w:t>
      </w:r>
    </w:p>
    <w:p>
      <w:pPr>
        <w:pStyle w:val="ListParagraph"/>
        <w:numPr>
          <w:ilvl w:val="0"/>
          <w:numId w:val="2"/>
        </w:numPr>
        <w:spacing w:after="90"/>
      </w:pPr>
      <w:r>
        <w:t xml:space="preserve">Publish clear, dated statistics and re-verify/update them at least annually so AI engines do not surface stale figures attributed to SOCVault.</w:t>
      </w:r>
    </w:p>
    <w:p>
      <w:pPr>
        <w:pStyle w:val="ListParagraph"/>
        <w:numPr>
          <w:ilvl w:val="0"/>
          <w:numId w:val="2"/>
        </w:numPr>
        <w:spacing w:after="90"/>
      </w:pPr>
      <w:r>
        <w:t xml:space="preserve">Avoid marketing-only adjectives in factual statements; generative engines preferentially quote neutral, verifiable phrasing over promotional language.</w:t>
      </w:r>
    </w:p>
    <w:p>
      <w:pPr>
        <w:pStyle w:val="ListParagraph"/>
        <w:numPr>
          <w:ilvl w:val="0"/>
          <w:numId w:val="2"/>
        </w:numPr>
        <w:spacing w:after="90"/>
      </w:pPr>
      <w:r>
        <w:t xml:space="preserve">Where SOCVault's own product mechanism is the differentiator (financial risk translation, SOAR at sub-$200/month, 8-layer coverage), state the mechanism plainly enough that an AI engine can explain *how* it works, not only *that* it exists.</w:t>
      </w:r>
    </w:p>
    <w:p>
      <w:pPr>
        <w:pStyle w:val="Heading2"/>
      </w:pPr>
      <w:r>
        <w:t xml:space="preserve">8.3 AIO checklist before publishing any page</w:t>
      </w:r>
    </w:p>
    <w:p>
      <w:pPr>
        <w:pStyle w:val="ListParagraph"/>
        <w:numPr>
          <w:ilvl w:val="0"/>
          <w:numId w:val="2"/>
        </w:numPr>
        <w:spacing w:after="90"/>
      </w:pPr>
      <w:r>
        <w:t xml:space="preserve">Does the page contain at least one self-contained, sourced statistic per major claim?</w:t>
      </w:r>
    </w:p>
    <w:p>
      <w:pPr>
        <w:pStyle w:val="ListParagraph"/>
        <w:numPr>
          <w:ilvl w:val="0"/>
          <w:numId w:val="2"/>
        </w:numPr>
        <w:spacing w:after="90"/>
      </w:pPr>
      <w:r>
        <w:t xml:space="preserve">Does every FAQ answer stand alone without needing the question repeated back?</w:t>
      </w:r>
    </w:p>
    <w:p>
      <w:pPr>
        <w:pStyle w:val="ListParagraph"/>
        <w:numPr>
          <w:ilvl w:val="0"/>
          <w:numId w:val="2"/>
        </w:numPr>
        <w:spacing w:after="90"/>
      </w:pPr>
      <w:r>
        <w:t xml:space="preserve">Is there a clear, single canonical definition of what SOCVault is, stated once near the top in plain language?</w:t>
      </w:r>
    </w:p>
    <w:p>
      <w:pPr>
        <w:pStyle w:val="ListParagraph"/>
        <w:numPr>
          <w:ilvl w:val="0"/>
          <w:numId w:val="2"/>
        </w:numPr>
        <w:spacing w:after="90"/>
      </w:pPr>
      <w:r>
        <w:t xml:space="preserve">Does the page name the actual tools and AI model behind a claim (Wazuh, Nuclei, Claude) rather than asserting "AI-powered" without specifics — this is what separates an AEO-citable fact from marketing copy an engine will discount?</w:t>
      </w:r>
    </w:p>
    <w:p>
      <w:pPr>
        <w:pStyle w:val="ListParagraph"/>
        <w:numPr>
          <w:ilvl w:val="0"/>
          <w:numId w:val="2"/>
        </w:numPr>
        <w:spacing w:after="90"/>
      </w:pPr>
      <w:r>
        <w:t xml:space="preserve">Is structured data (FAQPage, Product, Organization) present and accurate, so engines without full-page crawl access still get correct facts?</w:t>
      </w:r>
    </w:p>
    <w:p>
      <w:pPr>
        <w:pStyle w:val="ListParagraph"/>
        <w:numPr>
          <w:ilvl w:val="0"/>
          <w:numId w:val="2"/>
        </w:numPr>
        <w:spacing w:after="90"/>
      </w:pPr>
      <w:r>
        <w:t xml:space="preserve">Would a competent human editor at a tech publication consider this page accurate enough to cite without fact-checking it first?</w:t>
      </w:r>
    </w:p>
    <w:p>
      <w:pPr>
        <w:pStyle w:val="Heading1"/>
      </w:pPr>
      <w:r>
        <w:t xml:space="preserve">9. Content Roadmap Beyond the Landing Page</w:t>
      </w:r>
    </w:p>
    <w:p>
      <w:pPr>
        <w:spacing w:after="160"/>
      </w:pPr>
      <w:r>
        <w:t xml:space="preserve">A single landing page caps topical depth. Once the landing page is live, prioritise the following supporting assets to capture the full intent funnel mapped in Section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360"/>
      </w:tblGrid>
      <w:tr>
        <w:trPr>
          <w:tblHeader/>
        </w:trPr>
        <w:tc>
          <w:tcPr>
            <w:tcW w:type="dxa" w:w="3200"/>
            <w:tcBorders>
              <w:top w:val="single" w:color="CBD8D6" w:sz="2"/>
              <w:left w:val="single" w:color="CBD8D6" w:sz="2"/>
              <w:bottom w:val="single" w:color="CBD8D6" w:sz="2"/>
              <w:right w:val="single" w:color="CBD8D6" w:sz="2"/>
            </w:tcBorders>
            <w:shd w:fill="0B4A47" w:val="clear"/>
            <w:tcMar>
              <w:top w:type="dxa" w:w="80"/>
              <w:left w:type="dxa" w:w="130"/>
              <w:bottom w:type="dxa" w:w="80"/>
              <w:right w:type="dxa" w:w="130"/>
            </w:tcMar>
            <w:vAlign w:val="center"/>
          </w:tcPr>
          <w:p>
            <w:r>
              <w:rPr>
                <w:b/>
                <w:bCs/>
                <w:color w:val="FFFFFF"/>
                <w:sz w:val="19"/>
                <w:szCs w:val="19"/>
              </w:rPr>
              <w:t xml:space="preserve">Asset</w:t>
            </w:r>
          </w:p>
        </w:tc>
        <w:tc>
          <w:tcPr>
            <w:tcW w:type="dxa" w:w="3800"/>
            <w:tcBorders>
              <w:top w:val="single" w:color="CBD8D6" w:sz="2"/>
              <w:left w:val="single" w:color="CBD8D6" w:sz="2"/>
              <w:bottom w:val="single" w:color="CBD8D6" w:sz="2"/>
              <w:right w:val="single" w:color="CBD8D6" w:sz="2"/>
            </w:tcBorders>
            <w:shd w:fill="0B4A47" w:val="clear"/>
            <w:tcMar>
              <w:top w:type="dxa" w:w="80"/>
              <w:left w:type="dxa" w:w="130"/>
              <w:bottom w:type="dxa" w:w="80"/>
              <w:right w:type="dxa" w:w="130"/>
            </w:tcMar>
            <w:vAlign w:val="center"/>
          </w:tcPr>
          <w:p>
            <w:r>
              <w:rPr>
                <w:b/>
                <w:bCs/>
                <w:color w:val="FFFFFF"/>
                <w:sz w:val="19"/>
                <w:szCs w:val="19"/>
              </w:rPr>
              <w:t xml:space="preserve">Primary Keyword Target</w:t>
            </w:r>
          </w:p>
        </w:tc>
        <w:tc>
          <w:tcPr>
            <w:tcW w:type="dxa" w:w="2360"/>
            <w:tcBorders>
              <w:top w:val="single" w:color="CBD8D6" w:sz="2"/>
              <w:left w:val="single" w:color="CBD8D6" w:sz="2"/>
              <w:bottom w:val="single" w:color="CBD8D6" w:sz="2"/>
              <w:right w:val="single" w:color="CBD8D6" w:sz="2"/>
            </w:tcBorders>
            <w:shd w:fill="0B4A47" w:val="clear"/>
            <w:tcMar>
              <w:top w:type="dxa" w:w="80"/>
              <w:left w:type="dxa" w:w="130"/>
              <w:bottom w:type="dxa" w:w="80"/>
              <w:right w:type="dxa" w:w="130"/>
            </w:tcMar>
            <w:vAlign w:val="center"/>
          </w:tcPr>
          <w:p>
            <w:r>
              <w:rPr>
                <w:b/>
                <w:bCs/>
                <w:color w:val="FFFFFF"/>
                <w:sz w:val="19"/>
                <w:szCs w:val="19"/>
              </w:rPr>
              <w:t xml:space="preserve">Intent</w:t>
            </w:r>
          </w:p>
        </w:tc>
      </w:tr>
      <w:tr>
        <w:tc>
          <w:tcPr>
            <w:tcW w:type="dxa" w:w="32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/research (existing)</w:t>
            </w:r>
          </w:p>
        </w:tc>
        <w:tc>
          <w:tcPr>
            <w:tcW w:type="dxa" w:w="38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SOCVault security research, academic access cybersecurity scanner</w:t>
            </w:r>
          </w:p>
        </w:tc>
        <w:tc>
          <w:tcPr>
            <w:tcW w:type="dxa" w:w="23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Informational / Navigational</w:t>
            </w:r>
          </w:p>
        </w:tc>
      </w:tr>
      <w:tr>
        <w:tc>
          <w:tcPr>
            <w:tcW w:type="dxa" w:w="32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Blog: "What is SOC as a Service?"</w:t>
            </w:r>
          </w:p>
        </w:tc>
        <w:tc>
          <w:tcPr>
            <w:tcW w:type="dxa" w:w="38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what is SOC as a service</w:t>
            </w:r>
          </w:p>
        </w:tc>
        <w:tc>
          <w:tcPr>
            <w:tcW w:type="dxa" w:w="23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Informational</w:t>
            </w:r>
          </w:p>
        </w:tc>
      </w:tr>
      <w:tr>
        <w:tc>
          <w:tcPr>
            <w:tcW w:type="dxa" w:w="32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Blog: "How AI Translates Vulnerabilities into Financial Risk"</w:t>
            </w:r>
          </w:p>
        </w:tc>
        <w:tc>
          <w:tcPr>
            <w:tcW w:type="dxa" w:w="38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cyber risk quantification, financial risk translation cybersecurity</w:t>
            </w:r>
          </w:p>
        </w:tc>
        <w:tc>
          <w:tcPr>
            <w:tcW w:type="dxa" w:w="23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Informational / Commercial</w:t>
            </w:r>
          </w:p>
        </w:tc>
      </w:tr>
      <w:tr>
        <w:tc>
          <w:tcPr>
            <w:tcW w:type="dxa" w:w="32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Comparison page: SOCVault vs Intruder.io</w:t>
            </w:r>
          </w:p>
        </w:tc>
        <w:tc>
          <w:tcPr>
            <w:tcW w:type="dxa" w:w="38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SOCVault vs Intruder.io</w:t>
            </w:r>
          </w:p>
        </w:tc>
        <w:tc>
          <w:tcPr>
            <w:tcW w:type="dxa" w:w="23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Commercial</w:t>
            </w:r>
          </w:p>
        </w:tc>
      </w:tr>
      <w:tr>
        <w:tc>
          <w:tcPr>
            <w:tcW w:type="dxa" w:w="32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Comparison page: SOCVault vs Detectify</w:t>
            </w:r>
          </w:p>
        </w:tc>
        <w:tc>
          <w:tcPr>
            <w:tcW w:type="dxa" w:w="38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SOCVault vs Detectify</w:t>
            </w:r>
          </w:p>
        </w:tc>
        <w:tc>
          <w:tcPr>
            <w:tcW w:type="dxa" w:w="23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Commercial</w:t>
            </w:r>
          </w:p>
        </w:tc>
      </w:tr>
      <w:tr>
        <w:tc>
          <w:tcPr>
            <w:tcW w:type="dxa" w:w="32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Guide: PCI-DSS 4.0 Compliance Checklist</w:t>
            </w:r>
          </w:p>
        </w:tc>
        <w:tc>
          <w:tcPr>
            <w:tcW w:type="dxa" w:w="38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PCI-DSS 4.0 checklist</w:t>
            </w:r>
          </w:p>
        </w:tc>
        <w:tc>
          <w:tcPr>
            <w:tcW w:type="dxa" w:w="23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Informational / Commercial</w:t>
            </w:r>
          </w:p>
        </w:tc>
      </w:tr>
      <w:tr>
        <w:tc>
          <w:tcPr>
            <w:tcW w:type="dxa" w:w="32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Guide: UK Cyber Security and Resilience Bill explained</w:t>
            </w:r>
          </w:p>
        </w:tc>
        <w:tc>
          <w:tcPr>
            <w:tcW w:type="dxa" w:w="38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UK Cyber Security and Resilience Bill</w:t>
            </w:r>
          </w:p>
        </w:tc>
        <w:tc>
          <w:tcPr>
            <w:tcW w:type="dxa" w:w="23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Informational</w:t>
            </w:r>
          </w:p>
        </w:tc>
      </w:tr>
      <w:tr>
        <w:tc>
          <w:tcPr>
            <w:tcW w:type="dxa" w:w="32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Regional landing: SOCVault for UK Businesses</w:t>
            </w:r>
          </w:p>
        </w:tc>
        <w:tc>
          <w:tcPr>
            <w:tcW w:type="dxa" w:w="38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AI vCISO platform UK</w:t>
            </w:r>
          </w:p>
        </w:tc>
        <w:tc>
          <w:tcPr>
            <w:tcW w:type="dxa" w:w="23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Local / Commercial</w:t>
            </w:r>
          </w:p>
        </w:tc>
      </w:tr>
      <w:tr>
        <w:tc>
          <w:tcPr>
            <w:tcW w:type="dxa" w:w="32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Regional landing: SOCVault for Pakistan businesses</w:t>
            </w:r>
          </w:p>
        </w:tc>
        <w:tc>
          <w:tcPr>
            <w:tcW w:type="dxa" w:w="380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cybersecurity platform Pakistan</w:t>
            </w:r>
          </w:p>
        </w:tc>
        <w:tc>
          <w:tcPr>
            <w:tcW w:type="dxa" w:w="2360"/>
            <w:tcBorders>
              <w:top w:val="single" w:color="CBD8D6" w:sz="2"/>
              <w:left w:val="single" w:color="CBD8D6" w:sz="2"/>
              <w:bottom w:val="single" w:color="CBD8D6" w:sz="2"/>
              <w:right w:val="single" w:color="CBD8D6" w:sz="2"/>
            </w:tcBorders>
            <w:tcMar>
              <w:top w:type="dxa" w:w="80"/>
              <w:left w:type="dxa" w:w="130"/>
              <w:bottom w:type="dxa" w:w="80"/>
              <w:right w:type="dxa" w:w="130"/>
            </w:tcMar>
            <w:vAlign w:val="center"/>
          </w:tcPr>
          <w:p>
            <w:r>
              <w:rPr>
                <w:b w:val="false"/>
                <w:bCs w:val="false"/>
                <w:sz w:val="19"/>
                <w:szCs w:val="19"/>
              </w:rPr>
              <w:t xml:space="preserve">Local / Commercial</w:t>
            </w:r>
          </w:p>
        </w:tc>
      </w:tr>
    </w:tbl>
    <w:p>
      <w:pPr>
        <w:spacing w:after="200" w:before="60"/>
      </w:pPr>
      <w:r>
        <w:rPr>
          <w:i/>
          <w:iCs/>
          <w:color w:val="595959"/>
          <w:sz w:val="20"/>
          <w:szCs w:val="20"/>
        </w:rPr>
        <w:t xml:space="preserve">This guideline should be revisited each time a new platform layer ships (notably L9 AI Agent Scan moving from Phase 2 to general availability) and whenever a new compliance framework or region is added to the roadmap.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95959"/>
        <w:sz w:val="16"/>
        <w:szCs w:val="16"/>
      </w:rPr>
      <w:t xml:space="preserve">Confidential — Internal Marketing Reference</w:t>
    </w: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595959"/>
        <w:sz w:val="16"/>
        <w:szCs w:val="16"/>
      </w:rPr>
      <w:t xml:space="preserve">SOCVault — Content &amp; Keyword Guideline</w:t>
    </w:r>
    <w:r>
      <w:rPr>
        <w:color w:val="595959"/>
        <w:sz w:val="16"/>
        <w:szCs w:val="16"/>
      </w:rPr>
      <w:t xml:space="preserve">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bullet"/>
      <w:lvlText w:val="–"/>
      <w:lvlJc w:val="left"/>
      <w:pPr>
        <w:ind w:left="820" w:hanging="260"/>
      </w:pPr>
    </w:lvl>
  </w:abstractNum>
  <w:abstractNum w:abstractNumId="4"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E8E4F" w:sz="8" w:space="4"/>
      </w:pBdr>
      <w:spacing w:after="200" w:before="420"/>
      <w:outlineLvl w:val="0"/>
    </w:pPr>
    <w:rPr>
      <w:rFonts w:ascii="Arial" w:cs="Arial" w:eastAsia="Arial" w:hAnsi="Arial"/>
      <w:b/>
      <w:bCs/>
      <w:color w:val="0B4A47"/>
      <w:sz w:val="32"/>
      <w:szCs w:val="32"/>
    </w:rPr>
  </w:style>
  <w:style w:type="paragraph" w:styleId="Heading2">
    <w:name w:val="Heading 2"/>
    <w:basedOn w:val="Normal"/>
    <w:next w:val="Normal"/>
    <w:qFormat/>
    <w:pPr>
      <w:spacing w:after="140" w:before="300"/>
      <w:outlineLvl w:val="1"/>
    </w:pPr>
    <w:rPr>
      <w:rFonts w:ascii="Arial" w:cs="Arial" w:eastAsia="Arial" w:hAnsi="Arial"/>
      <w:b/>
      <w:bCs/>
      <w:color w:val="0B4A47"/>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E8E4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2026-06-20T14:09:44.334Z</dcterms:created>
  <dcterms:modified xsi:type="dcterms:W3CDTF">2026-06-20T14:09:44.347Z</dcterms:modified>
</cp:coreProperties>
</file>

<file path=docProps/custom.xml><?xml version="1.0" encoding="utf-8"?>
<Properties xmlns="http://schemas.openxmlformats.org/officeDocument/2006/custom-properties" xmlns:vt="http://schemas.openxmlformats.org/officeDocument/2006/docPropsVTypes"/>
</file>