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2"/>
          <w:sz w:val="32"/>
        </w:rPr>
        <w:t>NAKACHI CONSULTING</w:t>
        <w:br/>
        <w:t>ExCS IGNITION — Direct Mail Wave 1</w:t>
      </w:r>
    </w:p>
    <w:p/>
    <w:p>
      <w:pPr>
        <w:jc w:val="center"/>
      </w:pPr>
      <w:r>
        <w:rPr>
          <w:color w:val="6C757D"/>
          <w:sz w:val="20"/>
        </w:rPr>
        <w:t>Four-Letter Direct Mail Sequence · May 2026</w:t>
        <w:br/>
        <w:t>Confidential — Campaign Use Only</w:t>
      </w:r>
    </w:p>
    <w:p/>
    <w:p>
      <w:r>
        <w:t>────────────────────────────────────────────────────────────────────────</w:t>
      </w:r>
    </w:p>
    <w:p>
      <w:r>
        <w:br w:type="page"/>
      </w:r>
    </w:p>
    <w:p>
      <w:pPr>
        <w:pStyle w:val="Heading1"/>
        <w:jc w:val="left"/>
      </w:pPr>
      <w:r>
        <w:rPr>
          <w:color w:val="0A2342"/>
        </w:rPr>
        <w:t>LETTER 1 OF 4 — ATTENTION</w:t>
      </w:r>
    </w:p>
    <w:p>
      <w:r>
        <w:t>Subject: A New Source of Revenue for [STATE] State — NCC Policy Change</w:t>
      </w:r>
    </w:p>
    <w:p>
      <w:r>
        <w:t>Date: [DATE]</w:t>
      </w:r>
    </w:p>
    <w:p/>
    <w:p>
      <w:pPr/>
      <w:r>
        <w:t>His Excellency [GOVERNOR NAME]</w:t>
        <w:br/>
        <w:t>Governor, [STATE] State</w:t>
        <w:br/>
        <w:t>Government House, [CAPITAL CITY]</w:t>
      </w:r>
    </w:p>
    <w:p/>
    <w:p>
      <w:pPr/>
      <w:r>
        <w:t>Your Excellency,</w:t>
      </w:r>
    </w:p>
    <w:p/>
    <w:p>
      <w:pPr/>
      <w:r>
        <w:t>I write to draw your attention to a regulatory development that creates a direct and significant new revenue opportunity for [STATE] State — one that, to my knowledge, no South-South state has yet moved to capture.</w:t>
      </w:r>
    </w:p>
    <w:p>
      <w:pPr/>
      <w:r>
        <w:t>In Q4 2025, the Nigerian Communications Commission finalised amendments to the National Telecommunications Policy Framework. Under the revised framework, state governments are now explicitly permitted to hold equity — up to 49 percent — in licensed mobile and internet service operators providing services within their territory.</w:t>
      </w:r>
    </w:p>
    <w:p>
      <w:pPr/>
      <w:r>
        <w:t>For [STATE] State, with a population of [POPULATION] and existing mobile penetration of approximately [PENETRATION]%, this means that a properly structured Special Purpose Vehicle (SPV) — holding as little as 40% equity in a licensed operator — could generate an estimated NGN [ANNUAL_PROJECTION] per annum in additional Internally Generated Revenue, beginning within 18 months of a decision to proceed.</w:t>
      </w:r>
    </w:p>
    <w:p>
      <w:pPr/>
      <w:r>
        <w:t>NAKACHI Consulting has been preparing for this opportunity since the policy consultation stage. We have the legal structure, the financial models, and the operator relationships already in place. What is required now is a state executive prepared to move.</w:t>
      </w:r>
    </w:p>
    <w:p>
      <w:pPr/>
      <w:r>
        <w:t>I would welcome the opportunity to present this analysis to you or your Commissioner for Finance in a private 90-minute briefing at a time of your choosing. There is no obligation, and the analysis will be delivered at no cost.</w:t>
      </w:r>
    </w:p>
    <w:p>
      <w:pPr/>
      <w:r>
        <w:t>The window for first-mover advantage in the South-South zone is real and, by our assessment, will close within 12 to 18 months as competitors and other states begin to activate. I believe [STATE] State is positioned to lead.</w:t>
      </w:r>
    </w:p>
    <w:p/>
    <w:p>
      <w:pPr/>
      <w:r>
        <w:t>Warm regards,</w:t>
      </w:r>
    </w:p>
    <w:p/>
    <w:p>
      <w:r>
        <w:rPr>
          <w:b/>
        </w:rPr>
        <w:t>Dr Nakachi A.</w:t>
        <w:br/>
        <w:t>Managing Partner, ExCS Division</w:t>
        <w:br/>
        <w:t>NAKACHI Consulting</w:t>
        <w:br/>
        <w:t>Lagos, Nigeria</w:t>
        <w:br/>
        <w:t>ignition@nakachiconsulting.com</w:t>
      </w:r>
    </w:p>
    <w:p/>
    <w:p>
      <w:pPr/>
      <w:r>
        <w:t>[P.S. A one-page summary of the financial projections specific to [STATE] State is enclosed.]</w:t>
      </w:r>
    </w:p>
    <w:p>
      <w:r>
        <w:br w:type="page"/>
      </w:r>
    </w:p>
    <w:p>
      <w:pPr>
        <w:pStyle w:val="Heading1"/>
        <w:jc w:val="left"/>
      </w:pPr>
      <w:r>
        <w:rPr>
          <w:color w:val="0A2342"/>
        </w:rPr>
        <w:t>LETTER 2 OF 4 — INTEREST</w:t>
      </w:r>
    </w:p>
    <w:p>
      <w:r>
        <w:t>Subject: The Numbers for [STATE] State — What the Telecom Equity Model Actually Yields</w:t>
      </w:r>
    </w:p>
    <w:p>
      <w:r>
        <w:t>Date: [DATE + 10 DAYS]</w:t>
      </w:r>
    </w:p>
    <w:p/>
    <w:p>
      <w:pPr/>
      <w:r>
        <w:t>Your Excellency,</w:t>
      </w:r>
    </w:p>
    <w:p/>
    <w:p>
      <w:pPr/>
      <w:r>
        <w:t>I wrote to you ten days ago about the NCC Policy Review and the revenue opportunity it creates for [STATE] State. I recognise that correspondence of this nature arrives alongside many competing demands on your attention. I therefore want to make the financial case as concrete and specific as possible.</w:t>
      </w:r>
    </w:p>
    <w:p>
      <w:pPr/>
      <w:r>
        <w:t>Here is what the model shows for [STATE] State under conservative assumptions:</w:t>
      </w:r>
    </w:p>
    <w:p/>
    <w:tbl>
      <w:tblPr>
        <w:tblStyle w:val="TableGrid"/>
        <w:tblW w:type="auto" w:w="0"/>
        <w:tblLook w:firstColumn="1" w:firstRow="1" w:lastColumn="0" w:lastRow="0" w:noHBand="0" w:noVBand="1" w:val="04A0"/>
      </w:tblPr>
      <w:tblGrid>
        <w:gridCol w:w="4320"/>
        <w:gridCol w:w="4320"/>
      </w:tblGrid>
      <w:tr>
        <w:tc>
          <w:tcPr>
            <w:tcW w:type="dxa" w:w="4320"/>
          </w:tcPr>
          <w:p>
            <w:r>
              <w:t>Population of [STATE] State</w:t>
            </w:r>
          </w:p>
        </w:tc>
        <w:tc>
          <w:tcPr>
            <w:tcW w:type="dxa" w:w="4320"/>
          </w:tcPr>
          <w:p>
            <w:r>
              <w:t>[POPULATION]</w:t>
            </w:r>
          </w:p>
        </w:tc>
      </w:tr>
      <w:tr>
        <w:tc>
          <w:tcPr>
            <w:tcW w:type="dxa" w:w="4320"/>
          </w:tcPr>
          <w:p>
            <w:r>
              <w:t>Target subscribers at 15% penetration (Year 1)</w:t>
            </w:r>
          </w:p>
        </w:tc>
        <w:tc>
          <w:tcPr>
            <w:tcW w:type="dxa" w:w="4320"/>
          </w:tcPr>
          <w:p>
            <w:r>
              <w:t>[SUBSCRIBERS]</w:t>
            </w:r>
          </w:p>
        </w:tc>
      </w:tr>
      <w:tr>
        <w:tc>
          <w:tcPr>
            <w:tcW w:type="dxa" w:w="4320"/>
          </w:tcPr>
          <w:p>
            <w:r>
              <w:t>Average Revenue Per User per month</w:t>
            </w:r>
          </w:p>
        </w:tc>
        <w:tc>
          <w:tcPr>
            <w:tcW w:type="dxa" w:w="4320"/>
          </w:tcPr>
          <w:p>
            <w:r>
              <w:t>NGN 2,500</w:t>
            </w:r>
          </w:p>
        </w:tc>
      </w:tr>
      <w:tr>
        <w:tc>
          <w:tcPr>
            <w:tcW w:type="dxa" w:w="4320"/>
          </w:tcPr>
          <w:p>
            <w:r>
              <w:t>Operator monthly revenue</w:t>
            </w:r>
          </w:p>
        </w:tc>
        <w:tc>
          <w:tcPr>
            <w:tcW w:type="dxa" w:w="4320"/>
          </w:tcPr>
          <w:p>
            <w:r>
              <w:t>NGN [MONTHLY_REV]</w:t>
            </w:r>
          </w:p>
        </w:tc>
      </w:tr>
      <w:tr>
        <w:tc>
          <w:tcPr>
            <w:tcW w:type="dxa" w:w="4320"/>
          </w:tcPr>
          <w:p>
            <w:r>
              <w:t>State SPV share at 40% equity (monthly)</w:t>
            </w:r>
          </w:p>
        </w:tc>
        <w:tc>
          <w:tcPr>
            <w:tcW w:type="dxa" w:w="4320"/>
          </w:tcPr>
          <w:p>
            <w:r>
              <w:t>NGN [MONTHLY_STATE]</w:t>
            </w:r>
          </w:p>
        </w:tc>
      </w:tr>
      <w:tr>
        <w:tc>
          <w:tcPr>
            <w:tcW w:type="dxa" w:w="4320"/>
          </w:tcPr>
          <w:p>
            <w:r>
              <w:t>Annual IGR contribution to State</w:t>
            </w:r>
          </w:p>
        </w:tc>
        <w:tc>
          <w:tcPr>
            <w:tcW w:type="dxa" w:w="4320"/>
          </w:tcPr>
          <w:p>
            <w:r>
              <w:t>NGN [ANNUAL_STATE]</w:t>
            </w:r>
          </w:p>
        </w:tc>
      </w:tr>
    </w:tbl>
    <w:p/>
    <w:p>
      <w:pPr/>
      <w:r>
        <w:t>These figures assume only 15% penetration — conservative relative to the current national average of 49%. At 20% penetration, the annual contribution rises to approximately NGN [UPSIDE_20PCT]. At 25%, it approaches NGN [UPSIDE_25PCT].</w:t>
      </w:r>
    </w:p>
    <w:p>
      <w:pPr/>
      <w:r>
        <w:t>The state's exposure is limited. The SPV structure keeps telecom equity off the state's balance sheet. The NCC application cost is under NGN 50 million. The mobilisation investment — across legal, regulatory, and operator negotiation — is recovered within the first four months of commercial operation.</w:t>
      </w:r>
    </w:p>
    <w:p>
      <w:pPr/>
      <w:r>
        <w:t>I am aware that [STATE] State has ambitious development plans that require sustainable, non-oil revenue. This model does not require borrowing, does not depend on federal allocations, and creates a revenue stream that compounds as subscriber penetration grows year on year.</w:t>
      </w:r>
    </w:p>
    <w:p>
      <w:pPr/>
      <w:r>
        <w:t>I would still welcome the briefing I proposed in my earlier letter. If it is more convenient, my colleague and ExCS IGNITION technical lead would be glad to meet with your Commissioner for Finance or Permanent Secretary (Finance) as a first step.</w:t>
      </w:r>
    </w:p>
    <w:p>
      <w:pPr/>
      <w:r>
        <w:t>I remain at your service.</w:t>
      </w:r>
    </w:p>
    <w:p/>
    <w:p>
      <w:pPr/>
      <w:r>
        <w:t>Warm regards,</w:t>
      </w:r>
    </w:p>
    <w:p/>
    <w:p>
      <w:r>
        <w:rPr>
          <w:b/>
        </w:rPr>
        <w:t>Dr Nakachi A.</w:t>
        <w:br/>
        <w:t>Managing Partner, ExCS Division</w:t>
        <w:br/>
        <w:t>NAKACHI Consulting</w:t>
        <w:br/>
        <w:t>Lagos, Nigeria</w:t>
        <w:br/>
        <w:t>ignition@nakachiconsulting.com</w:t>
      </w:r>
    </w:p>
    <w:p/>
    <w:p>
      <w:r>
        <w:br w:type="page"/>
      </w:r>
    </w:p>
    <w:p>
      <w:pPr>
        <w:pStyle w:val="Heading1"/>
        <w:jc w:val="left"/>
      </w:pPr>
      <w:r>
        <w:rPr>
          <w:color w:val="0A2342"/>
        </w:rPr>
        <w:t>LETTER 3 OF 4 — DESIRE</w:t>
      </w:r>
    </w:p>
    <w:p>
      <w:r>
        <w:t>Subject: Why [STATE] State Must Move Now — and What Happens If It Doesn't</w:t>
      </w:r>
    </w:p>
    <w:p>
      <w:r>
        <w:t>Date: [DATE + 24 DAYS]</w:t>
      </w:r>
    </w:p>
    <w:p/>
    <w:p>
      <w:pPr/>
      <w:r>
        <w:t>Your Excellency,</w:t>
      </w:r>
    </w:p>
    <w:p/>
    <w:p>
      <w:pPr/>
      <w:r>
        <w:t>This is my third letter on the subject of the NCC telecom equity opportunity. I write again not to repeat the financial case — you have those numbers — but to address the question of urgency, because it is the question I most commonly hear from state officials who are interested but have not yet moved.</w:t>
      </w:r>
    </w:p>
    <w:p>
      <w:pPr/>
      <w:r>
        <w:t>The question is: 'Why now? Why not wait and see how other states do it first?'</w:t>
      </w:r>
    </w:p>
    <w:p>
      <w:pPr/>
      <w:r>
        <w:t>The answer is spectrum. The NCC allocates spectrum on a first-come, first-served basis at the sub-national level. The states that file SPV applications earliest will receive the most favourable spectrum bands — the bands that carry the highest subscriber capacity, the best rural coverage economics, and the strongest competitive moat against later entrants.</w:t>
      </w:r>
    </w:p>
    <w:p>
      <w:pPr/>
      <w:r>
        <w:t>A state that waits 18 months to observe others will find that the premium spectrum has been assigned, operator partners have committed exclusivities elsewhere, and the NCC is managing a queue. The revenue projections I have shared assume access to Tier 1 spectrum. A late entrant's projections would be materially lower.</w:t>
      </w:r>
    </w:p>
    <w:p>
      <w:pPr/>
      <w:r>
        <w:t>To be transparent: NAKACHI is in discussion with two other South-South states. We are in a position to begin mobilisation with one or at most two states in the 2026 cohort. We would prefer that [STATE] State be among them.</w:t>
      </w:r>
    </w:p>
    <w:p>
      <w:pPr/>
      <w:r>
        <w:t>I have enclosed a one-page comparison showing the projected IGR trajectory for a state that enters in 2026 versus a state that enters in 2028. The gap in cumulative revenue over five years, at base case assumptions, exceeds NGN [LATE_ENTRY_GAP].</w:t>
      </w:r>
    </w:p>
    <w:p>
      <w:pPr/>
      <w:r>
        <w:t>Your Excellency, the opportunity is real. The risk is modest. The window is finite. I respectfully request 90 minutes of your time — or that of your senior financial officers — to present the full ExCS IGNITION programme and answer every question your team has.</w:t>
      </w:r>
    </w:p>
    <w:p/>
    <w:p>
      <w:pPr/>
      <w:r>
        <w:t>Warm regards,</w:t>
      </w:r>
    </w:p>
    <w:p/>
    <w:p>
      <w:r>
        <w:rPr>
          <w:b/>
        </w:rPr>
        <w:t>Dr Nakachi A.</w:t>
        <w:br/>
        <w:t>Managing Partner, ExCS Division</w:t>
        <w:br/>
        <w:t>NAKACHI Consulting</w:t>
        <w:br/>
        <w:t>Lagos, Nigeria</w:t>
        <w:br/>
        <w:t>ignition@nakachiconsulting.com</w:t>
      </w:r>
    </w:p>
    <w:p/>
    <w:p>
      <w:pPr/>
      <w:r>
        <w:t>[Enclosure: First-Mover vs. Late-Entrant IGR Comparison — [STATE] State]</w:t>
      </w:r>
    </w:p>
    <w:p>
      <w:r>
        <w:br w:type="page"/>
      </w:r>
    </w:p>
    <w:p>
      <w:pPr>
        <w:pStyle w:val="Heading1"/>
        <w:jc w:val="left"/>
      </w:pPr>
      <w:r>
        <w:rPr>
          <w:color w:val="0A2342"/>
        </w:rPr>
        <w:t>LETTER 4 OF 4 — ACTION</w:t>
      </w:r>
    </w:p>
    <w:p>
      <w:r>
        <w:t>Subject: A Direct Invitation — Private Briefing, [PROPOSED DATE]</w:t>
      </w:r>
    </w:p>
    <w:p>
      <w:r>
        <w:t>Date: [DATE + 38 DAYS]</w:t>
      </w:r>
    </w:p>
    <w:p/>
    <w:p>
      <w:pPr/>
      <w:r>
        <w:t>Your Excellency,</w:t>
      </w:r>
    </w:p>
    <w:p/>
    <w:p>
      <w:pPr/>
      <w:r>
        <w:t>I have written to you three times regarding the ExCS IGNITION programme and the NCC telecom equity opportunity for [STATE] State. I appreciate that you and your office manage extraordinary volumes of correspondence, and I understand that my earlier letters may not have reached you directly.</w:t>
      </w:r>
    </w:p>
    <w:p>
      <w:pPr/>
      <w:r>
        <w:t>I am therefore writing to extend a specific, time-bounded invitation:</w:t>
      </w:r>
    </w:p>
    <w:p>
      <w:pPr/>
      <w:r>
        <w:t>NAKACHI Consulting respectfully requests a 90-minute private briefing with you, or with a senior representative of your choice, on [PROPOSED DATE] at Government House [CAPITAL CITY] or at a location of your preference in Lagos. I will personally lead the session.</w:t>
      </w:r>
    </w:p>
    <w:p>
      <w:pPr/>
      <w:r>
        <w:t>The briefing will cover:</w:t>
      </w:r>
    </w:p>
    <w:p>
      <w:pPr>
        <w:pStyle w:val="ListBullet"/>
      </w:pPr>
      <w:r>
        <w:t>The NCC framework — what it allows and what it requires of the state</w:t>
      </w:r>
    </w:p>
    <w:p>
      <w:pPr>
        <w:pStyle w:val="ListBullet"/>
      </w:pPr>
      <w:r>
        <w:t>[STATE]-specific financial modelling — three scenarios, fully documented assumptions</w:t>
      </w:r>
    </w:p>
    <w:p>
      <w:pPr>
        <w:pStyle w:val="ListBullet"/>
      </w:pPr>
      <w:r>
        <w:t>SPV legal structure and compliance pathway</w:t>
      </w:r>
    </w:p>
    <w:p>
      <w:pPr>
        <w:pStyle w:val="ListBullet"/>
      </w:pPr>
      <w:r>
        <w:t>Operator partner options and indicative commercial terms</w:t>
      </w:r>
    </w:p>
    <w:p>
      <w:pPr>
        <w:pStyle w:val="ListBullet"/>
      </w:pPr>
      <w:r>
        <w:t>The ExCS IGNITION programme timeline and NAKACHI's role</w:t>
      </w:r>
    </w:p>
    <w:p>
      <w:pPr>
        <w:pStyle w:val="ListBullet"/>
      </w:pPr>
      <w:r>
        <w:t>Answers to every question your team has</w:t>
      </w:r>
    </w:p>
    <w:p/>
    <w:p>
      <w:pPr/>
      <w:r>
        <w:t>There is no fee for the briefing. There is no obligation to engage NAKACHI beyond it. My only ask is 90 minutes and a genuine conversation.</w:t>
      </w:r>
    </w:p>
    <w:p>
      <w:pPr/>
      <w:r>
        <w:t>To confirm attendance or to propose an alternative date, please respond to this letter directly, or contact my office at ignition@nakachiconsulting.com or +234 (0) 800 NAKACHI.</w:t>
      </w:r>
    </w:p>
    <w:p>
      <w:pPr/>
      <w:r>
        <w:t>Your Excellency, [STATE] State has the population, the resources, and the institutional capacity to lead the South-South zone into the new era of state-backed telecommunications. NAKACHI is ready to help you do exactly that.</w:t>
      </w:r>
    </w:p>
    <w:p>
      <w:pPr/>
      <w:r>
        <w:t>I look forward to hearing from you.</w:t>
      </w:r>
    </w:p>
    <w:p/>
    <w:p>
      <w:pPr/>
      <w:r>
        <w:t>Warm regards,</w:t>
      </w:r>
    </w:p>
    <w:p/>
    <w:p>
      <w:r>
        <w:rPr>
          <w:b/>
        </w:rPr>
        <w:t>Dr Nakachi A.</w:t>
        <w:br/>
        <w:t>Managing Partner, ExCS Division</w:t>
        <w:br/>
        <w:t>NAKACHI Consulting</w:t>
        <w:br/>
        <w:t>Lagos, Nigeria</w:t>
        <w:br/>
        <w:t>ignition@nakachiconsulting.com</w:t>
      </w:r>
    </w:p>
    <w:p/>
    <w:p/>
    <w:p>
      <w:r>
        <w:t>────────────────────────────────────────────────────────────────────────</w:t>
      </w:r>
    </w:p>
    <w:p/>
    <w:p>
      <w:pPr>
        <w:jc w:val="center"/>
      </w:pPr>
      <w:r>
        <w:rPr>
          <w:sz w:val="18"/>
        </w:rPr>
        <w:t>NAKACHI Consulting · ExCS IGNITION · Direct Mail Wave 1</w:t>
        <w:br/>
        <w:t>Production File — Confidential — May 2026</w:t>
        <w:br/>
        <w:t>Personalise all bracketed fields before dispatch.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