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abae135da434678" /><Relationship Type="http://schemas.openxmlformats.org/package/2006/relationships/metadata/core-properties" Target="/docProps/core.xml" Id="R0467f8cfe4184344" /><Relationship Type="http://schemas.openxmlformats.org/officeDocument/2006/relationships/extended-properties" Target="/docProps/app.xml" Id="R988a9092f2f64184" /><Relationship Type="http://schemas.openxmlformats.org/officeDocument/2006/relationships/custom-properties" Target="/docProps/custom.xml" Id="R12dc33bc72724dc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Healthcare Patient Flow Analytics</w:t>
      </w:r>
    </w:p>
    <w:p w14:paraId="00100002" w14:textId="00100003">
      <w:pPr>
        <w:pStyle w:val="Normal"/>
        <w:spacing w:after="120"/>
        <w:jc w:val="center"/>
      </w:pPr>
      <w:r>
        <w:rPr>
          <w:sz w:val="28"/>
        </w:rPr>
        <w:t xml:space="preserve">A Complete End-to-End Data Analytics Project</w:t>
      </w:r>
    </w:p>
    <w:p w14:paraId="00100004" w14:textId="00100005">
      <w:pPr>
        <w:pStyle w:val="Normal"/>
        <w:spacing w:after="120"/>
        <w:jc w:val="center"/>
      </w:pPr>
      <w:r>
        <w:rPr>
          <w:sz w:val="24"/>
        </w:rPr>
        <w:t xml:space="preserve">Submitted by: Samiksha</w:t>
      </w:r>
    </w:p>
    <w:p w14:paraId="00100006" w14:textId="00100007">
      <w:pPr>
        <w:pStyle w:val="Normal"/>
        <w:spacing w:after="120"/>
        <w:jc w:val="center"/>
      </w:pPr>
      <w:r>
        <w:rPr>
          <w:sz w:val="24"/>
        </w:rPr>
        <w:t xml:space="preserve">Project Type: Educational Data Analytics Portfolio Project</w:t>
      </w:r>
    </w:p>
    <w:p w14:paraId="00100008" w14:textId="00100009">
      <w:pPr>
        <w:pStyle w:val="Normal"/>
        <w:spacing w:after="120"/>
        <w:jc w:val="center"/>
      </w:pPr>
      <w:r>
        <w:rPr>
          <w:sz w:val="24"/>
        </w:rPr>
        <w:t xml:space="preserve">Dataset Period: April 2023 – October 2024</w:t>
      </w:r>
    </w:p>
    <w:p w14:paraId="0010000A" w14:textId="0010000B">
      <w:pPr>
        <w:pStyle w:val="Normal"/>
        <w:spacing w:after="120"/>
        <w:jc w:val="center"/>
      </w:pPr>
      <w:r>
        <w:rPr>
          <w:sz w:val="24"/>
        </w:rPr>
        <w:t xml:space="preserve">Tools Used: Python, Pandas, Scikit-Learn, Plotly, Streamlit</w:t>
      </w:r>
    </w:p>
    <w:p w14:paraId="0010000C" w14:textId="0010000D">
      <w:pPr>
        <w:pStyle w:val="Normal"/>
        <w:spacing w:after="480"/>
        <w:jc w:val="center"/>
      </w:pPr>
      <w:r>
        <w:rPr>
          <w:color w:val="C0392B"/>
          <w:sz w:val="22"/>
        </w:rPr>
        <w:t xml:space="preserve">⚠️ Disclaimer: This project is for educational purposes only. All data is synthetic/public and must not be used for clinical decisions.</w:t>
      </w:r>
    </w:p>
    <w:p w14:paraId="0010000E" w14:textId="0010000F">
      <w:pPr>
        <w:pStyle w:val="Normal"/>
        <w:spacing w:after="240"/>
      </w:pPr>
      <w:r>
        <w:rPr/>
        <w:t xml:space="preserve"/>
      </w:r>
    </w:p>
    <w:p w14:paraId="00100010" w14:textId="00100011">
      <w:pPr>
        <w:pStyle w:val="Heading1"/>
        <w:spacing w:after="160"/>
      </w:pPr>
      <w:r>
        <w:rPr>
          <w:b/>
          <w:sz w:val="36"/>
        </w:rPr>
        <w:t xml:space="preserve">Abstract</w:t>
      </w:r>
    </w:p>
    <w:p w14:paraId="00100012" w14:textId="00100013">
      <w:pPr>
        <w:pStyle w:val="Normal"/>
        <w:spacing w:after="240"/>
      </w:pPr>
      <w:r>
        <w:rPr>
          <w:sz w:val="22"/>
        </w:rPr>
        <w:t xml:space="preserve">This project presents a complete Healthcare Patient Flow Analytics solution built on a synthetic emergency department dataset containing 9,216 patient visits recorded from April 2023 to October 2024. The work covers the full analytics pipeline: raw data ingestion, systematic data cleaning and quality documentation, exploratory data analysis with interactive visualisations, a predictive modelling experiment comparing Logistic Regression and Random Forest, and a five-page Streamlit dashboard designed for non-technical hospital managers. The dashboard surfaces key performance indicators, patient-flow patterns, departmental performance, satisfaction trends, and actionable business insights. The predictive model honestly reports near-chance accuracy and explains why — clinical admission decisions depend on diagnostic signals (vitals, lab results, physician assessment) that are absent from this dataset. The project follows the Data → Insights → Decisions → Actions framework throughout.</w:t>
      </w:r>
    </w:p>
    <w:p w14:paraId="00100014" w14:textId="00100015">
      <w:pPr>
        <w:pStyle w:val="Heading1"/>
        <w:spacing w:after="160"/>
      </w:pPr>
      <w:r>
        <w:rPr>
          <w:b/>
          <w:sz w:val="36"/>
        </w:rPr>
        <w:t xml:space="preserve">1. Introduction and Problem Statement</w:t>
      </w:r>
    </w:p>
    <w:p w14:paraId="00100016" w14:textId="00100017">
      <w:pPr>
        <w:pStyle w:val="Normal"/>
        <w:spacing w:after="160"/>
      </w:pPr>
      <w:r>
        <w:rPr>
          <w:sz w:val="22"/>
        </w:rPr>
        <w:t xml:space="preserve">Hospitals face a constant challenge balancing patient demand with limited clinical resources. When patient flow is poorly understood, queues lengthen, staff become overwhelmed during peak hours, and satisfaction declines. Hospital managers need clear, data-driven answers to five core operational questions:</w:t>
      </w:r>
    </w:p>
    <w:p w14:paraId="00100018" w14:textId="00100019">
      <w:pPr>
        <w:pStyle w:val="Normal"/>
        <w:numPr>
          <w:ilvl w:val="0"/>
          <w:numId w:val="1"/>
        </w:numPr>
        <w:spacing w:after="80"/>
      </w:pPr>
      <w:r>
        <w:rPr>
          <w:sz w:val="22"/>
        </w:rPr>
        <w:t xml:space="preserve">1. How many patients arrive, when, and by which pathway?</w:t>
      </w:r>
    </w:p>
    <w:p w14:paraId="0010001A" w14:textId="0010001B">
      <w:pPr>
        <w:pStyle w:val="Normal"/>
        <w:numPr>
          <w:ilvl w:val="0"/>
          <w:numId w:val="1"/>
        </w:numPr>
        <w:spacing w:after="80"/>
      </w:pPr>
      <w:r>
        <w:rPr>
          <w:sz w:val="22"/>
        </w:rPr>
        <w:t xml:space="preserve">2. How long do patients wait, and which departments have the worst wait times?</w:t>
      </w:r>
    </w:p>
    <w:p w14:paraId="0010001C" w14:textId="0010001D">
      <w:pPr>
        <w:pStyle w:val="Normal"/>
        <w:numPr>
          <w:ilvl w:val="0"/>
          <w:numId w:val="1"/>
        </w:numPr>
        <w:spacing w:after="80"/>
      </w:pPr>
      <w:r>
        <w:rPr>
          <w:sz w:val="22"/>
        </w:rPr>
        <w:t xml:space="preserve">3. Which departments receive the most referrals and have the highest admission rates?</w:t>
      </w:r>
    </w:p>
    <w:p w14:paraId="0010001E" w14:textId="0010001F">
      <w:pPr>
        <w:pStyle w:val="Normal"/>
        <w:numPr>
          <w:ilvl w:val="0"/>
          <w:numId w:val="1"/>
        </w:numPr>
        <w:spacing w:after="80"/>
      </w:pPr>
      <w:r>
        <w:rPr>
          <w:sz w:val="22"/>
        </w:rPr>
        <w:t xml:space="preserve">4. How satisfied are patients, and what drives satisfaction?</w:t>
      </w:r>
    </w:p>
    <w:p w14:paraId="00100020" w14:textId="00100021">
      <w:pPr>
        <w:pStyle w:val="Normal"/>
        <w:numPr>
          <w:ilvl w:val="0"/>
          <w:numId w:val="1"/>
        </w:numPr>
        <w:spacing w:after="200"/>
      </w:pPr>
      <w:r>
        <w:rPr>
          <w:sz w:val="22"/>
        </w:rPr>
        <w:t xml:space="preserve">5. What specific actions should management take to reduce wait times and improve experience?</w:t>
      </w:r>
    </w:p>
    <w:p w14:paraId="00100022" w14:textId="00100023">
      <w:pPr>
        <w:pStyle w:val="Normal"/>
        <w:spacing w:after="240"/>
      </w:pPr>
      <w:r>
        <w:rPr>
          <w:sz w:val="22"/>
        </w:rPr>
        <w:t xml:space="preserve">This project answers these questions by transforming raw visit logs into a structured, interactive analytics platform. The problem framing follows the flow: Data → Insights → Decisions → Actions, ensuring that every chart and KPI is tied to a real operational decision.</w:t>
      </w:r>
    </w:p>
    <w:p w14:paraId="00100024" w14:textId="00100025">
      <w:pPr>
        <w:pStyle w:val="Heading1"/>
        <w:spacing w:after="160"/>
      </w:pPr>
      <w:r>
        <w:rPr>
          <w:b/>
          <w:sz w:val="36"/>
        </w:rPr>
        <w:t xml:space="preserve">2. Dataset Description</w:t>
      </w:r>
    </w:p>
    <w:p w14:paraId="00100026" w14:textId="00100027">
      <w:pPr>
        <w:pStyle w:val="Normal"/>
        <w:spacing w:after="160"/>
      </w:pPr>
      <w:r>
        <w:rPr>
          <w:sz w:val="22"/>
        </w:rPr>
        <w:t xml:space="preserve">The dataset is a synthetic/public emergency department visit log available at: https://drive.google.com/file/d/1KSJyXgWfBhf7xJ1Oi0w5KkLqelaQZGMp/view?usp=sharing</w:t>
      </w:r>
    </w:p>
    <w:p w14:paraId="00100028" w14:textId="00100029">
      <w:pPr>
        <w:pStyle w:val="Normal"/>
        <w:spacing w:after="160"/>
      </w:pPr>
      <w:r>
        <w:rPr>
          <w:sz w:val="22"/>
        </w:rPr>
        <w:t xml:space="preserve">It contains 9,216 rows and 11 columns covering visits from 1 April 2023 to 30 October 2024. The table below describes each column.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A" w14:textId="0010002B">
            <w:r>
              <w:t xml:space="preserve">Column Name</w:t>
            </w:r>
          </w:p>
        </w:tc>
        <w:tc>
          <w:p w14:paraId="0010002C" w14:textId="0010002D">
            <w:r>
              <w:t xml:space="preserve">Data Type</w:t>
            </w:r>
          </w:p>
        </w:tc>
        <w:tc>
          <w:p w14:paraId="0010002E" w14:textId="0010002F">
            <w:r>
              <w:t xml:space="preserve">Description / Notes</w:t>
            </w:r>
          </w:p>
        </w:tc>
      </w:tr>
      <w:tr>
        <w:trPr/>
        <w:tc>
          <w:p w14:paraId="00100030" w14:textId="00100031">
            <w:r>
              <w:t xml:space="preserve">Patient Id</w:t>
            </w:r>
          </w:p>
        </w:tc>
        <w:tc>
          <w:p w14:paraId="00100032" w14:textId="00100033">
            <w:r>
              <w:t xml:space="preserve">String</w:t>
            </w:r>
          </w:p>
        </w:tc>
        <w:tc>
          <w:p w14:paraId="00100034" w14:textId="00100035">
            <w:r>
              <w:t xml:space="preserve">Unique patient identifier — DROPPED (PII)</w:t>
            </w:r>
          </w:p>
        </w:tc>
      </w:tr>
      <w:tr>
        <w:trPr/>
        <w:tc>
          <w:p w14:paraId="00100036" w14:textId="00100037">
            <w:r>
              <w:t xml:space="preserve">Patient Admission Date</w:t>
            </w:r>
          </w:p>
        </w:tc>
        <w:tc>
          <w:p w14:paraId="00100038" w14:textId="00100039">
            <w:r>
              <w:t xml:space="preserve">String (date)</w:t>
            </w:r>
          </w:p>
        </w:tc>
        <w:tc>
          <w:p w14:paraId="0010003A" w14:textId="0010003B">
            <w:r>
              <w:t xml:space="preserve">Visit date in D/M/YYYY or M/D/YYYY format — parsed with dayfirst=True</w:t>
            </w:r>
          </w:p>
        </w:tc>
      </w:tr>
      <w:tr>
        <w:trPr/>
        <w:tc>
          <w:p w14:paraId="0010003C" w14:textId="0010003D">
            <w:r>
              <w:t xml:space="preserve">Patient Admission Time</w:t>
            </w:r>
          </w:p>
        </w:tc>
        <w:tc>
          <w:p w14:paraId="0010003E" w14:textId="0010003F">
            <w:r>
              <w:t xml:space="preserve">String (time)</w:t>
            </w:r>
          </w:p>
        </w:tc>
        <w:tc>
          <w:p w14:paraId="00100040" w14:textId="00100041">
            <w:r>
              <w:t xml:space="preserve">12-hour format (e.g. 9:25:00 AM) — combined with date into admission_datetime</w:t>
            </w:r>
          </w:p>
        </w:tc>
      </w:tr>
      <w:tr>
        <w:trPr/>
        <w:tc>
          <w:p w14:paraId="00100042" w14:textId="00100043">
            <w:r>
              <w:t xml:space="preserve">Merged (Patient Name)</w:t>
            </w:r>
          </w:p>
        </w:tc>
        <w:tc>
          <w:p w14:paraId="00100044" w14:textId="00100045">
            <w:r>
              <w:t xml:space="preserve">String</w:t>
            </w:r>
          </w:p>
        </w:tc>
        <w:tc>
          <w:p w14:paraId="00100046" w14:textId="00100047">
            <w:r>
              <w:t xml:space="preserve">Patient name in 'Initial. Surname' format — DROPPED (PII)</w:t>
            </w:r>
          </w:p>
        </w:tc>
      </w:tr>
      <w:tr>
        <w:trPr/>
        <w:tc>
          <w:p w14:paraId="00100048" w14:textId="00100049">
            <w:r>
              <w:t xml:space="preserve">Patient Gender</w:t>
            </w:r>
          </w:p>
        </w:tc>
        <w:tc>
          <w:p w14:paraId="0010004A" w14:textId="0010004B">
            <w:r>
              <w:t xml:space="preserve">Categorical</w:t>
            </w:r>
          </w:p>
        </w:tc>
        <w:tc>
          <w:p w14:paraId="0010004C" w14:textId="0010004D">
            <w:r>
              <w:t xml:space="preserve">Female / Male — 17 rows contained typo 'Femaleemale', corrected to 'Female'</w:t>
            </w:r>
          </w:p>
        </w:tc>
      </w:tr>
      <w:tr>
        <w:trPr/>
        <w:tc>
          <w:p w14:paraId="0010004E" w14:textId="0010004F">
            <w:r>
              <w:t xml:space="preserve">Patient Age</w:t>
            </w:r>
          </w:p>
        </w:tc>
        <w:tc>
          <w:p w14:paraId="00100050" w14:textId="00100051">
            <w:r>
              <w:t xml:space="preserve">Integer</w:t>
            </w:r>
          </w:p>
        </w:tc>
        <w:tc>
          <w:p w14:paraId="00100052" w14:textId="00100053">
            <w:r>
              <w:t xml:space="preserve">Age in years (0–120 range). Used to derive Age Group feature.</w:t>
            </w:r>
          </w:p>
        </w:tc>
      </w:tr>
      <w:tr>
        <w:trPr/>
        <w:tc>
          <w:p w14:paraId="00100054" w14:textId="00100055">
            <w:r>
              <w:t xml:space="preserve">Patient Race</w:t>
            </w:r>
          </w:p>
        </w:tc>
        <w:tc>
          <w:p w14:paraId="00100056" w14:textId="00100057">
            <w:r>
              <w:t xml:space="preserve">Categorical</w:t>
            </w:r>
          </w:p>
        </w:tc>
        <w:tc>
          <w:p w14:paraId="00100058" w14:textId="00100059">
            <w:r>
              <w:t xml:space="preserve">7 categories including 'Declined to Identify'</w:t>
            </w:r>
          </w:p>
        </w:tc>
      </w:tr>
      <w:tr>
        <w:trPr/>
        <w:tc>
          <w:p w14:paraId="0010005A" w14:textId="0010005B">
            <w:r>
              <w:t xml:space="preserve">Department Referral</w:t>
            </w:r>
          </w:p>
        </w:tc>
        <w:tc>
          <w:p w14:paraId="0010005C" w14:textId="0010005D">
            <w:r>
              <w:t xml:space="preserve">Categorical</w:t>
            </w:r>
          </w:p>
        </w:tc>
        <w:tc>
          <w:p w14:paraId="0010005E" w14:textId="0010005F">
            <w:r>
              <w:t xml:space="preserve">7 departments + 'None' (59% of rows). 'None' relabelled to 'No Referral'.</w:t>
            </w:r>
          </w:p>
        </w:tc>
      </w:tr>
      <w:tr>
        <w:trPr/>
        <w:tc>
          <w:p w14:paraId="00100060" w14:textId="00100061">
            <w:r>
              <w:t xml:space="preserve">Patient Admission Flag</w:t>
            </w:r>
          </w:p>
        </w:tc>
        <w:tc>
          <w:p w14:paraId="00100062" w14:textId="00100063">
            <w:r>
              <w:t xml:space="preserve">Binary</w:t>
            </w:r>
          </w:p>
        </w:tc>
        <w:tc>
          <w:p w14:paraId="00100064" w14:textId="00100065">
            <w:r>
              <w:t xml:space="preserve">'Admission' or 'Not Admission' — target variable for ML model</w:t>
            </w:r>
          </w:p>
        </w:tc>
      </w:tr>
      <w:tr>
        <w:trPr/>
        <w:tc>
          <w:p w14:paraId="00100066" w14:textId="00100067">
            <w:r>
              <w:t xml:space="preserve">Patient Satisfaction Score</w:t>
            </w:r>
          </w:p>
        </w:tc>
        <w:tc>
          <w:p w14:paraId="00100068" w14:textId="00100069">
            <w:r>
              <w:t xml:space="preserve">Float (0–10)</w:t>
            </w:r>
          </w:p>
        </w:tc>
        <w:tc>
          <w:p w14:paraId="0010006A" w14:textId="0010006B">
            <w:r>
              <w:t xml:space="preserve">73% missing — NOT imputed. Analysis uses only real responses (~27% response rate).</w:t>
            </w:r>
          </w:p>
        </w:tc>
      </w:tr>
      <w:tr>
        <w:trPr/>
        <w:tc>
          <w:p w14:paraId="0010006C" w14:textId="0010006D">
            <w:r>
              <w:t xml:space="preserve">Patient Waittime</w:t>
            </w:r>
          </w:p>
        </w:tc>
        <w:tc>
          <w:p w14:paraId="0010006E" w14:textId="0010006F">
            <w:r>
              <w:t xml:space="preserve">Integer (minutes)</w:t>
            </w:r>
          </w:p>
        </w:tc>
        <w:tc>
          <w:p w14:paraId="00100070" w14:textId="00100071">
            <w:r>
              <w:t xml:space="preserve">Wait time in minutes (range 10–60+). Used to derive Wait Band feature.</w:t>
            </w:r>
          </w:p>
        </w:tc>
      </w:tr>
    </w:tbl>
    <w:p w14:paraId="00100072" w14:textId="00100073">
      <w:pPr>
        <w:pStyle w:val="Normal"/>
        <w:spacing w:after="240"/>
        <w:jc w:val="center"/>
      </w:pPr>
      <w:r>
        <w:rPr>
          <w:sz w:val="20"/>
        </w:rPr>
        <w:t xml:space="preserve">Table 1: Dataset Column Descriptions</w:t>
      </w:r>
    </w:p>
    <w:p w14:paraId="00100074" w14:textId="00100075">
      <w:pPr>
        <w:pStyle w:val="Heading1"/>
        <w:spacing w:after="160"/>
      </w:pPr>
      <w:r>
        <w:rPr>
          <w:b/>
          <w:sz w:val="36"/>
        </w:rPr>
        <w:t xml:space="preserve">3. Data Cleaning</w:t>
      </w:r>
    </w:p>
    <w:p w14:paraId="00100076" w14:textId="00100077">
      <w:pPr>
        <w:pStyle w:val="Normal"/>
        <w:spacing w:after="160"/>
      </w:pPr>
      <w:r>
        <w:rPr>
          <w:sz w:val="22"/>
        </w:rPr>
        <w:t xml:space="preserve">All cleaning steps were applied in sequence inside the load_and_clean() function. Each step is documented below with the rationale.</w:t>
      </w:r>
    </w:p>
    <w:p w14:paraId="00100078" w14:textId="00100079">
      <w:pPr>
        <w:pStyle w:val="Normal"/>
        <w:numPr>
          <w:ilvl w:val="0"/>
          <w:numId w:val="2"/>
        </w:numPr>
        <w:spacing w:after="80"/>
      </w:pPr>
      <w:r>
        <w:rPr>
          <w:sz w:val="22"/>
        </w:rPr>
        <w:t xml:space="preserve">Step 1 — Column Renaming: All 11 columns were renamed to snake_case for programmatic convenience (e.g. 'Patient Admission Date' → 'admission_date').</w:t>
      </w:r>
    </w:p>
    <w:p w14:paraId="0010007A" w14:textId="0010007B">
      <w:pPr>
        <w:pStyle w:val="Normal"/>
        <w:numPr>
          <w:ilvl w:val="0"/>
          <w:numId w:val="2"/>
        </w:numPr>
        <w:spacing w:after="80"/>
      </w:pPr>
      <w:r>
        <w:rPr>
          <w:sz w:val="22"/>
        </w:rPr>
        <w:t xml:space="preserve">Step 2 — PII Removal: Patient Id and Patient Name (Merged) columns were immediately dropped from the working DataFrame. These columns are never shown in charts, KPIs, or the dashboard.</w:t>
      </w:r>
    </w:p>
    <w:p w14:paraId="0010007C" w14:textId="0010007D">
      <w:pPr>
        <w:pStyle w:val="Normal"/>
        <w:numPr>
          <w:ilvl w:val="0"/>
          <w:numId w:val="2"/>
        </w:numPr>
        <w:spacing w:after="80"/>
      </w:pPr>
      <w:r>
        <w:rPr>
          <w:sz w:val="22"/>
        </w:rPr>
        <w:t xml:space="preserve">Step 3 — Gender Typo Fix: 17 rows contained the value 'Femaleemale' in the gender column. These were corrected to 'Female' using a targeted string replacement. No other gender values required correction.</w:t>
      </w:r>
    </w:p>
    <w:p w14:paraId="0010007E" w14:textId="0010007F">
      <w:pPr>
        <w:pStyle w:val="Normal"/>
        <w:numPr>
          <w:ilvl w:val="0"/>
          <w:numId w:val="2"/>
        </w:numPr>
        <w:spacing w:after="80"/>
      </w:pPr>
      <w:r>
        <w:rPr>
          <w:sz w:val="22"/>
        </w:rPr>
        <w:t xml:space="preserve">Step 4 — Date Parsing: Admission dates used a mixed format (some M/D/YYYY, some D/MM/YYYY). pd.to_datetime() was called with dayfirst=True and errors='coerce' to handle both patterns. Unparseable dates became NaT.</w:t>
      </w:r>
    </w:p>
    <w:p w14:paraId="00100080" w14:textId="00100081">
      <w:pPr>
        <w:pStyle w:val="Normal"/>
        <w:numPr>
          <w:ilvl w:val="0"/>
          <w:numId w:val="2"/>
        </w:numPr>
        <w:spacing w:after="80"/>
      </w:pPr>
      <w:r>
        <w:rPr>
          <w:sz w:val="22"/>
        </w:rPr>
        <w:t xml:space="preserve">Step 5 — Time Parsing and Datetime Combination: Admission times in 12-hour AM/PM format were parsed separately and combined with the date to produce a single admission_datetime column used for the hour-of-day feature.</w:t>
      </w:r>
    </w:p>
    <w:p w14:paraId="00100082" w14:textId="00100083">
      <w:pPr>
        <w:pStyle w:val="Normal"/>
        <w:numPr>
          <w:ilvl w:val="0"/>
          <w:numId w:val="2"/>
        </w:numPr>
        <w:spacing w:after="80"/>
      </w:pPr>
      <w:r>
        <w:rPr>
          <w:sz w:val="22"/>
        </w:rPr>
        <w:t xml:space="preserve">Step 6 — Department Relabelling: The string 'None' in the Department Referral column (present in ~59% of rows) was replaced with 'No Referral'. Empty strings (none found) would also be caught. No rows were dropped for this reason.</w:t>
      </w:r>
    </w:p>
    <w:p w14:paraId="00100084" w14:textId="00100085">
      <w:pPr>
        <w:pStyle w:val="Normal"/>
        <w:numPr>
          <w:ilvl w:val="0"/>
          <w:numId w:val="2"/>
        </w:numPr>
        <w:spacing w:after="80"/>
      </w:pPr>
      <w:r>
        <w:rPr>
          <w:sz w:val="22"/>
        </w:rPr>
        <w:t xml:space="preserve">Step 7 — Satisfaction Score Treatment: The satisfaction score was cast to numeric with errors='coerce'. Missing values (73% of rows) were deliberately NOT imputed. All satisfaction analysis is performed only on the 27% of rows with a real score, and the response rate is surfaced as a KPI.</w:t>
      </w:r>
    </w:p>
    <w:p w14:paraId="00100086" w14:textId="00100087">
      <w:pPr>
        <w:pStyle w:val="Normal"/>
        <w:numPr>
          <w:ilvl w:val="0"/>
          <w:numId w:val="2"/>
        </w:numPr>
        <w:spacing w:after="80"/>
      </w:pPr>
      <w:r>
        <w:rPr>
          <w:sz w:val="22"/>
        </w:rPr>
        <w:t xml:space="preserve">Step 8 — Type Coercion: Age and wait_time were cast to numeric. Any remaining non-numeric values became NaN.</w:t>
      </w:r>
    </w:p>
    <w:p w14:paraId="00100088" w14:textId="00100089">
      <w:pPr>
        <w:pStyle w:val="Normal"/>
        <w:numPr>
          <w:ilvl w:val="0"/>
          <w:numId w:val="2"/>
        </w:numPr>
        <w:spacing w:after="80"/>
      </w:pPr>
      <w:r>
        <w:rPr>
          <w:sz w:val="22"/>
        </w:rPr>
        <w:t xml:space="preserve">Step 9 — Row Removal: Rows where admission_date, age, wait_time, or gender remained missing after all corrections were dropped. This affected a small number of rows (raw: 9,216; clean: ~9,213+).</w:t>
      </w:r>
    </w:p>
    <w:p w14:paraId="0010008A" w14:textId="0010008B">
      <w:pPr>
        <w:pStyle w:val="Normal"/>
        <w:numPr>
          <w:ilvl w:val="0"/>
          <w:numId w:val="2"/>
        </w:numPr>
        <w:spacing w:after="200"/>
      </w:pPr>
      <w:r>
        <w:rPr>
          <w:sz w:val="22"/>
        </w:rPr>
        <w:t xml:space="preserve">Step 10 — Feature Engineering: Six new derived columns were added: month, month_name, month_year (for trend charts), weekday, hour (from datetime), age_group (6 bins: Child, Teen, Young Adult, Adult, Senior, Elderly), and wait_band (7 bins from ≤10 min to 60+ min). A binary admitted column was also created from the admission_flag for modelling.</w:t>
      </w:r>
    </w:p>
    <w:p w14:paraId="0010008C" w14:textId="0010008D">
      <w:pPr>
        <w:pStyle w:val="Heading2"/>
        <w:spacing w:after="160"/>
      </w:pPr>
      <w:r>
        <w:rPr>
          <w:b/>
          <w:sz w:val="28"/>
        </w:rPr>
        <w:t xml:space="preserve">Data Quality Summary (Before → After):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E" w14:textId="0010008F">
            <w:r>
              <w:t xml:space="preserve">Metric</w:t>
            </w:r>
          </w:p>
        </w:tc>
        <w:tc>
          <w:p w14:paraId="00100090" w14:textId="00100091">
            <w:r>
              <w:t xml:space="preserve">Before Cleaning</w:t>
            </w:r>
          </w:p>
        </w:tc>
        <w:tc>
          <w:p w14:paraId="00100092" w14:textId="00100093">
            <w:r>
              <w:t xml:space="preserve">After Cleaning</w:t>
            </w:r>
          </w:p>
        </w:tc>
      </w:tr>
      <w:tr>
        <w:trPr/>
        <w:tc>
          <w:p w14:paraId="00100094" w14:textId="00100095">
            <w:r>
              <w:t xml:space="preserve">Total Rows</w:t>
            </w:r>
          </w:p>
        </w:tc>
        <w:tc>
          <w:p w14:paraId="00100096" w14:textId="00100097">
            <w:r>
              <w:t xml:space="preserve">9,216</w:t>
            </w:r>
          </w:p>
        </w:tc>
        <w:tc>
          <w:p w14:paraId="00100098" w14:textId="00100099">
            <w:r>
              <w:t xml:space="preserve">~9,213 (3 dropped — missing core fields)</w:t>
            </w:r>
          </w:p>
        </w:tc>
      </w:tr>
      <w:tr>
        <w:trPr/>
        <w:tc>
          <w:p w14:paraId="0010009A" w14:textId="0010009B">
            <w:r>
              <w:t xml:space="preserve">Gender Typos</w:t>
            </w:r>
          </w:p>
        </w:tc>
        <w:tc>
          <w:p w14:paraId="0010009C" w14:textId="0010009D">
            <w:r>
              <w:t xml:space="preserve">17 rows with 'Femaleemale'</w:t>
            </w:r>
          </w:p>
        </w:tc>
        <w:tc>
          <w:p w14:paraId="0010009E" w14:textId="0010009F">
            <w:r>
              <w:t xml:space="preserve">Corrected to 'Female'</w:t>
            </w:r>
          </w:p>
        </w:tc>
      </w:tr>
      <w:tr>
        <w:trPr/>
        <w:tc>
          <w:p w14:paraId="001000A0" w14:textId="001000A1">
            <w:r>
              <w:t xml:space="preserve">Department 'None'</w:t>
            </w:r>
          </w:p>
        </w:tc>
        <w:tc>
          <w:p w14:paraId="001000A2" w14:textId="001000A3">
            <w:r>
              <w:t xml:space="preserve">~5,400 rows (59%) labelled 'None'</w:t>
            </w:r>
          </w:p>
        </w:tc>
        <w:tc>
          <w:p w14:paraId="001000A4" w14:textId="001000A5">
            <w:r>
              <w:t xml:space="preserve">Relabelled to 'No Referral'</w:t>
            </w:r>
          </w:p>
        </w:tc>
      </w:tr>
      <w:tr>
        <w:trPr/>
        <w:tc>
          <w:p w14:paraId="001000A6" w14:textId="001000A7">
            <w:r>
              <w:t xml:space="preserve">Satisfaction Score</w:t>
            </w:r>
          </w:p>
        </w:tc>
        <w:tc>
          <w:p w14:paraId="001000A8" w14:textId="001000A9">
            <w:r>
              <w:t xml:space="preserve">73% missing (NaN)</w:t>
            </w:r>
          </w:p>
        </w:tc>
        <w:tc>
          <w:p w14:paraId="001000AA" w14:textId="001000AB">
            <w:r>
              <w:t xml:space="preserve">NOT imputed — used as-is with response rate KPI</w:t>
            </w:r>
          </w:p>
        </w:tc>
      </w:tr>
      <w:tr>
        <w:trPr/>
        <w:tc>
          <w:p w14:paraId="001000AC" w14:textId="001000AD">
            <w:r>
              <w:t xml:space="preserve">Date Format</w:t>
            </w:r>
          </w:p>
        </w:tc>
        <w:tc>
          <w:p w14:paraId="001000AE" w14:textId="001000AF">
            <w:r>
              <w:t xml:space="preserve">Mixed D/M/YYYY and M/D/YYYY strings</w:t>
            </w:r>
          </w:p>
        </w:tc>
        <w:tc>
          <w:p w14:paraId="001000B0" w14:textId="001000B1">
            <w:r>
              <w:t xml:space="preserve">Parsed with dayfirst=True; bad dates → NaT</w:t>
            </w:r>
          </w:p>
        </w:tc>
      </w:tr>
      <w:tr>
        <w:trPr/>
        <w:tc>
          <w:p w14:paraId="001000B2" w14:textId="001000B3">
            <w:r>
              <w:t xml:space="preserve">PII Columns</w:t>
            </w:r>
          </w:p>
        </w:tc>
        <w:tc>
          <w:p w14:paraId="001000B4" w14:textId="001000B5">
            <w:r>
              <w:t xml:space="preserve">Patient Id, Patient Name present</w:t>
            </w:r>
          </w:p>
        </w:tc>
        <w:tc>
          <w:p w14:paraId="001000B6" w14:textId="001000B7">
            <w:r>
              <w:t xml:space="preserve">Dropped from all analysis and dashboard</w:t>
            </w:r>
          </w:p>
        </w:tc>
      </w:tr>
    </w:tbl>
    <w:p w14:paraId="001000B8" w14:textId="001000B9">
      <w:pPr>
        <w:pStyle w:val="Normal"/>
        <w:spacing w:after="240"/>
        <w:jc w:val="center"/>
      </w:pPr>
      <w:r>
        <w:rPr>
          <w:sz w:val="20"/>
        </w:rPr>
        <w:t xml:space="preserve">Table 2: Data Quality Before and After Cleaning</w:t>
      </w:r>
    </w:p>
    <w:p w14:paraId="001000BA" w14:textId="001000BB">
      <w:pPr>
        <w:pStyle w:val="Heading1"/>
        <w:spacing w:after="160"/>
      </w:pPr>
      <w:r>
        <w:rPr>
          <w:b/>
          <w:sz w:val="36"/>
        </w:rPr>
        <w:t xml:space="preserve">4. Methodology</w:t>
      </w:r>
    </w:p>
    <w:p w14:paraId="001000BC" w14:textId="001000BD">
      <w:pPr>
        <w:pStyle w:val="Heading2"/>
        <w:spacing w:after="120"/>
      </w:pPr>
      <w:r>
        <w:rPr>
          <w:b/>
          <w:sz w:val="28"/>
        </w:rPr>
        <w:t xml:space="preserve">4.1 Exploratory Data Analysis</w:t>
      </w:r>
    </w:p>
    <w:p w14:paraId="001000BE" w14:textId="001000BF">
      <w:pPr>
        <w:pStyle w:val="Normal"/>
        <w:spacing w:after="160"/>
      </w:pPr>
      <w:r>
        <w:rPr>
          <w:sz w:val="22"/>
        </w:rPr>
        <w:t xml:space="preserve">EDA was conducted across five thematic areas, each corresponding to a dashboard page. All charts use Plotly Express for interactivity. The analytical approach is non-parametric and descriptive — no statistical tests are applied; the goal is pattern discovery for operational use.</w:t>
      </w:r>
    </w:p>
    <w:p w14:paraId="001000C0" w14:textId="001000C1">
      <w:pPr>
        <w:pStyle w:val="Normal"/>
        <w:numPr>
          <w:ilvl w:val="0"/>
          <w:numId w:val="3"/>
        </w:numPr>
        <w:spacing w:after="80"/>
      </w:pPr>
      <w:r>
        <w:rPr>
          <w:sz w:val="22"/>
        </w:rPr>
        <w:t xml:space="preserve">(a) Temporal patterns — Monthly trends, weekday distributions, and hour-of-day distributions reveal when the hospital is busiest. A Weekday × Hour heatmap provides a two-dimensional peak-load view.</w:t>
      </w:r>
    </w:p>
    <w:p w14:paraId="001000C2" w14:textId="001000C3">
      <w:pPr>
        <w:pStyle w:val="Normal"/>
        <w:numPr>
          <w:ilvl w:val="0"/>
          <w:numId w:val="3"/>
        </w:numPr>
        <w:spacing w:after="80"/>
      </w:pPr>
      <w:r>
        <w:rPr>
          <w:sz w:val="22"/>
        </w:rPr>
        <w:t xml:space="preserve">(b) Wait time analysis — Average wait time by department and age group identifies which patient groups and units experience the longest delays. A histogram shows the overall distribution shape.</w:t>
      </w:r>
    </w:p>
    <w:p w14:paraId="001000C4" w14:textId="001000C5">
      <w:pPr>
        <w:pStyle w:val="Normal"/>
        <w:numPr>
          <w:ilvl w:val="0"/>
          <w:numId w:val="3"/>
        </w:numPr>
        <w:spacing w:after="80"/>
      </w:pPr>
      <w:r>
        <w:rPr>
          <w:sz w:val="22"/>
        </w:rPr>
        <w:t xml:space="preserve">(c) Departmental analysis — Referral volumes and admission rates by department inform resource allocation decisions.</w:t>
      </w:r>
    </w:p>
    <w:p w14:paraId="001000C6" w14:textId="001000C7">
      <w:pPr>
        <w:pStyle w:val="Normal"/>
        <w:numPr>
          <w:ilvl w:val="0"/>
          <w:numId w:val="3"/>
        </w:numPr>
        <w:spacing w:after="80"/>
      </w:pPr>
      <w:r>
        <w:rPr>
          <w:sz w:val="22"/>
        </w:rPr>
        <w:t xml:space="preserve">(d) Demographics — Age group pie chart, gender split, and race/ethnicity bar chart characterise the patient population.</w:t>
      </w:r>
    </w:p>
    <w:p w14:paraId="001000C8" w14:textId="001000C9">
      <w:pPr>
        <w:pStyle w:val="Normal"/>
        <w:numPr>
          <w:ilvl w:val="0"/>
          <w:numId w:val="3"/>
        </w:numPr>
        <w:spacing w:after="200"/>
      </w:pPr>
      <w:r>
        <w:rPr>
          <w:sz w:val="22"/>
        </w:rPr>
        <w:t xml:space="preserve">(e) Satisfaction analysis — Score distribution, average satisfaction by wait-time band, department, and age group, plus a scatter plot with OLS trend line showing wait time vs. satisfaction.</w:t>
      </w:r>
    </w:p>
    <w:p w14:paraId="001000CA" w14:textId="001000CB">
      <w:pPr>
        <w:pStyle w:val="Heading2"/>
        <w:spacing w:after="120"/>
      </w:pPr>
      <w:r>
        <w:rPr>
          <w:b/>
          <w:sz w:val="28"/>
        </w:rPr>
        <w:t xml:space="preserve">4.2 Predictive Modelling</w:t>
      </w:r>
    </w:p>
    <w:p w14:paraId="001000CC" w14:textId="001000CD">
      <w:pPr>
        <w:pStyle w:val="Normal"/>
        <w:spacing w:after="160"/>
      </w:pPr>
      <w:r>
        <w:rPr>
          <w:sz w:val="22"/>
        </w:rPr>
        <w:t xml:space="preserve">A binary classification experiment was conducted to test whether the available features can predict whether a patient will be admitted (Patient Admission Flag = 'Admission'). Two algorithms were compared:</w:t>
      </w:r>
    </w:p>
    <w:p w14:paraId="001000CE" w14:textId="001000CF">
      <w:pPr>
        <w:pStyle w:val="Normal"/>
        <w:numPr>
          <w:ilvl w:val="0"/>
          <w:numId w:val="4"/>
        </w:numPr>
        <w:spacing w:after="80"/>
      </w:pPr>
      <w:r>
        <w:rPr>
          <w:sz w:val="22"/>
        </w:rPr>
        <w:t xml:space="preserve">Model 1 — Logistic Regression: A linear classifier with L2 regularisation (max_iter=500). Used as the interpretable baseline.</w:t>
      </w:r>
    </w:p>
    <w:p w14:paraId="001000D0" w14:textId="001000D1">
      <w:pPr>
        <w:pStyle w:val="Normal"/>
        <w:numPr>
          <w:ilvl w:val="0"/>
          <w:numId w:val="4"/>
        </w:numPr>
        <w:spacing w:after="160"/>
      </w:pPr>
      <w:r>
        <w:rPr>
          <w:sz w:val="22"/>
        </w:rPr>
        <w:t xml:space="preserve">Model 2 — Random Forest Classifier: An ensemble of 100 decision trees (n_estimators=100). Used as the non-linear comparison.</w:t>
      </w:r>
    </w:p>
    <w:p w14:paraId="001000D2" w14:textId="001000D3">
      <w:pPr>
        <w:pStyle w:val="Normal"/>
        <w:spacing w:after="160"/>
      </w:pPr>
      <w:r>
        <w:rPr>
          <w:sz w:val="22"/>
        </w:rPr>
        <w:t xml:space="preserve">Features used: gender, age, race, department, wait_time, hour, weekday, age_group. All categorical features were label-encoded. The dataset was split 75/25 (train/test) with stratification on the target. Evaluation metrics: accuracy, F1-score, and a confusion matrix.</w:t>
      </w:r>
    </w:p>
    <w:p w14:paraId="001000D4" w14:textId="001000D5">
      <w:pPr>
        <w:pStyle w:val="Normal"/>
        <w:spacing w:after="240"/>
      </w:pPr>
      <w:r>
        <w:rPr>
          <w:sz w:val="22"/>
        </w:rPr>
        <w:t xml:space="preserve">Leakage prevention: The satisfaction_score column was excluded (it is 73% missing and not available at the time of admission). The admission_flag itself (target) was not used as a feature.</w:t>
      </w:r>
    </w:p>
    <w:p w14:paraId="001000D6" w14:textId="001000D7">
      <w:pPr>
        <w:pStyle w:val="Heading1"/>
        <w:spacing w:after="160"/>
      </w:pPr>
      <w:r>
        <w:rPr>
          <w:b/>
          <w:sz w:val="36"/>
        </w:rPr>
        <w:t xml:space="preserve">5. Results</w:t>
      </w:r>
    </w:p>
    <w:p w14:paraId="001000D8" w14:textId="001000D9">
      <w:pPr>
        <w:pStyle w:val="Heading2"/>
        <w:spacing w:after="120"/>
      </w:pPr>
      <w:r>
        <w:rPr>
          <w:b/>
          <w:sz w:val="28"/>
        </w:rPr>
        <w:t xml:space="preserve">5.1 Executive Overview — Key Performance Indicators</w:t>
      </w:r>
    </w:p>
    <w:p w14:paraId="001000DA" w14:textId="001000DB">
      <w:pPr>
        <w:pStyle w:val="Normal"/>
        <w:spacing w:after="160"/>
      </w:pPr>
      <w:r>
        <w:rPr>
          <w:sz w:val="22"/>
        </w:rPr>
        <w:t xml:space="preserve">The dataset contains 9,216 patient visits across 19 months (April 2023 – October 2024). The six headline KPIs computed from the full clean dataset are summarised below.</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DC" w14:textId="001000DD">
            <w:r>
              <w:t xml:space="preserve">KPI</w:t>
            </w:r>
          </w:p>
        </w:tc>
        <w:tc>
          <w:p w14:paraId="001000DE" w14:textId="001000DF">
            <w:r>
              <w:t xml:space="preserve">Value</w:t>
            </w:r>
          </w:p>
        </w:tc>
      </w:tr>
      <w:tr>
        <w:trPr/>
        <w:tc>
          <w:p w14:paraId="001000E0" w14:textId="001000E1">
            <w:r>
              <w:t xml:space="preserve">Total Visits</w:t>
            </w:r>
          </w:p>
        </w:tc>
        <w:tc>
          <w:p w14:paraId="001000E2" w14:textId="001000E3">
            <w:r>
              <w:t xml:space="preserve">9,216</w:t>
            </w:r>
          </w:p>
        </w:tc>
      </w:tr>
      <w:tr>
        <w:trPr/>
        <w:tc>
          <w:p w14:paraId="001000E4" w14:textId="001000E5">
            <w:r>
              <w:t xml:space="preserve">Admission Rate</w:t>
            </w:r>
          </w:p>
        </w:tc>
        <w:tc>
          <w:p w14:paraId="001000E6" w14:textId="001000E7">
            <w:r>
              <w:t xml:space="preserve">~49% (approximately half of all visits result in admission)</w:t>
            </w:r>
          </w:p>
        </w:tc>
      </w:tr>
      <w:tr>
        <w:trPr/>
        <w:tc>
          <w:p w14:paraId="001000E8" w14:textId="001000E9">
            <w:r>
              <w:t xml:space="preserve">Average Wait Time</w:t>
            </w:r>
          </w:p>
        </w:tc>
        <w:tc>
          <w:p w14:paraId="001000EA" w14:textId="001000EB">
            <w:r>
              <w:t xml:space="preserve">~35 minutes</w:t>
            </w:r>
          </w:p>
        </w:tc>
      </w:tr>
      <w:tr>
        <w:trPr/>
        <w:tc>
          <w:p w14:paraId="001000EC" w14:textId="001000ED">
            <w:r>
              <w:t xml:space="preserve">Average Satisfaction Score</w:t>
            </w:r>
          </w:p>
        </w:tc>
        <w:tc>
          <w:p w14:paraId="001000EE" w14:textId="001000EF">
            <w:r>
              <w:t xml:space="preserve">~5.0 / 10 (based on 27% response rate only)</w:t>
            </w:r>
          </w:p>
        </w:tc>
      </w:tr>
      <w:tr>
        <w:trPr/>
        <w:tc>
          <w:p w14:paraId="001000F0" w14:textId="001000F1">
            <w:r>
              <w:t xml:space="preserve">Survey Response Rate</w:t>
            </w:r>
          </w:p>
        </w:tc>
        <w:tc>
          <w:p w14:paraId="001000F2" w14:textId="001000F3">
            <w:r>
              <w:t xml:space="preserve">~27% — a critical data quality limitation</w:t>
            </w:r>
          </w:p>
        </w:tc>
      </w:tr>
      <w:tr>
        <w:trPr/>
        <w:tc>
          <w:p w14:paraId="001000F4" w14:textId="001000F5">
            <w:r>
              <w:t xml:space="preserve">Referral Rate</w:t>
            </w:r>
          </w:p>
        </w:tc>
        <w:tc>
          <w:p w14:paraId="001000F6" w14:textId="001000F7">
            <w:r>
              <w:t xml:space="preserve">~41% (59% of visits had no department referral)</w:t>
            </w:r>
          </w:p>
        </w:tc>
      </w:tr>
    </w:tbl>
    <w:p w14:paraId="001000F8" w14:textId="001000F9">
      <w:pPr>
        <w:pStyle w:val="Normal"/>
        <w:spacing w:after="240"/>
        <w:jc w:val="center"/>
      </w:pPr>
      <w:r>
        <w:rPr>
          <w:sz w:val="20"/>
        </w:rPr>
        <w:t xml:space="preserve">Table 3: Executive KPIs (Full Dataset, No Filters)</w:t>
      </w:r>
    </w:p>
    <w:p w14:paraId="00100194" w14:textId="00100195">
      <w:pPr>
        <w:pStyle w:val="Normal"/>
        <w:spacing w:after="200"/>
        <w:jc w:val="center"/>
      </w:pPr>
      <w:r>
        <w:rPr>
          <w:sz w:val="20"/>
        </w:rPr>
        <w:t xml:space="preserve">Figure 1: Dashboard Page 1 — Executive Overview (KPIs, Monthly Trend, Data Quality Summary)</w:t>
      </w:r>
    </w:p>
    <w:p w14:paraId="00100192" w14:textId="00100193">
      <w:pPr>
        <w:spacing w:line="240" w:lineRule="auto"/>
      </w:pPr>
      <w:r>
        <w:rPr/>
        <w:drawing>
          <wp:inline distT="0" distB="0" distL="0" distR="0">
            <wp:extent cx="5760000" cy="4712727"/>
            <wp:effectExtent l="0" t="0" r="0" b="0"/>
            <wp:docPr id="1" name="page1_executive_overview.png" descr=""/>
            <wp:cNvGraphicFramePr>
              <a:graphicFrameLocks noChangeAspect="1"/>
            </wp:cNvGraphicFramePr>
            <a:graphic>
              <a:graphicData uri="http://schemas.openxmlformats.org/drawingml/2006/picture">
                <pic:pic>
                  <pic:nvPicPr>
                    <pic:cNvPr id="1" name="page1_executive_overview.png"/>
                    <pic:cNvPicPr/>
                  </pic:nvPicPr>
                  <pic:blipFill>
                    <a:blip r:embed="R94dbab9aeca54a95" cstate="print"/>
                    <a:stretch>
                      <a:fillRect/>
                    </a:stretch>
                  </pic:blipFill>
                  <pic:spPr>
                    <a:xfrm>
                      <a:off x="0" y="0"/>
                      <a:ext cx="5760000" cy="4712727"/>
                    </a:xfrm>
                    <a:prstGeom prst="rect">
                      <a:avLst/>
                    </a:prstGeom>
                  </pic:spPr>
                </pic:pic>
              </a:graphicData>
            </a:graphic>
          </wp:inline>
        </w:drawing>
      </w:r>
    </w:p>
    <w:p w14:paraId="001000FA" w14:textId="001000FB">
      <w:pPr>
        <w:pStyle w:val="Heading2"/>
        <w:spacing w:after="120"/>
      </w:pPr>
      <w:r>
        <w:rPr>
          <w:b/>
          <w:sz w:val="28"/>
        </w:rPr>
        <w:t xml:space="preserve">5.2 Patient Flow Findings</w:t>
      </w:r>
    </w:p>
    <w:p w14:paraId="001000FC" w14:textId="001000FD">
      <w:pPr>
        <w:pStyle w:val="Normal"/>
        <w:spacing w:after="160"/>
      </w:pPr>
      <w:r>
        <w:rPr>
          <w:sz w:val="22"/>
        </w:rPr>
        <w:t xml:space="preserve">Temporal Analysis: Monthly visit volumes show consistent activity throughout the 19-month window with no single dramatic spike, though some months show elevated volumes. The busiest day of the week (visible in the dashboard bar chart) shows clear weekday concentration, with weekends slightly lower. The hour-of-day distribution reveals a morning surge (approximately 08:00–12:00) and an evening peak (approximately 17:00–21:00), with the quietest period between 02:00–06:00. The peak-load heatmap (Weekday × Hour) provides a compound view that pinpoints the exact day-hour combinations requiring the most staff coverage.</w:t>
      </w:r>
    </w:p>
    <w:p w14:paraId="001000FE" w14:textId="001000FF">
      <w:pPr>
        <w:pStyle w:val="Normal"/>
        <w:spacing w:after="240"/>
      </w:pPr>
      <w:r>
        <w:rPr>
          <w:sz w:val="22"/>
        </w:rPr>
        <w:t xml:space="preserve">Wait Time Patterns: Average wait time across all visits is approximately 35 minutes. Departmental breakdown shows that certain referral departments — particularly General Practice and Orthopedics — tend to have above-average wait times, indicating capacity bottlenecks. The wait time distribution is roughly uniform across the 10–60 minute range, suggesting systemic rather than random delays.</w:t>
      </w:r>
    </w:p>
    <w:p w14:paraId="00100198" w14:textId="00100199">
      <w:pPr>
        <w:pStyle w:val="Normal"/>
        <w:spacing w:after="200"/>
        <w:jc w:val="center"/>
      </w:pPr>
      <w:r>
        <w:rPr>
          <w:sz w:val="20"/>
        </w:rPr>
        <w:t xml:space="preserve">Figure 2: Dashboard Page 2 — Patient Flow &amp; Wait Time (Weekday/Hour Charts, Heatmap, Wait by Dept/Age)</w:t>
      </w:r>
    </w:p>
    <w:p w14:paraId="00100196" w14:textId="00100197">
      <w:pPr>
        <w:spacing w:line="240" w:lineRule="auto"/>
      </w:pPr>
      <w:r>
        <w:drawing>
          <wp:inline distT="0" distB="0" distL="0" distR="0">
            <wp:extent cx="5760000" cy="4712727"/>
            <wp:effectExtent l="0" t="0" r="0" b="0"/>
            <wp:docPr id="2" name="page2_patient_flow.png" descr=""/>
            <wp:cNvGraphicFramePr>
              <a:graphicFrameLocks noChangeAspect="1"/>
            </wp:cNvGraphicFramePr>
            <a:graphic>
              <a:graphicData uri="http://schemas.openxmlformats.org/drawingml/2006/picture">
                <pic:pic>
                  <pic:nvPicPr>
                    <pic:cNvPr id="2" name="page2_patient_flow.png"/>
                    <pic:cNvPicPr/>
                  </pic:nvPicPr>
                  <pic:blipFill>
                    <a:blip r:embed="R6a23cb5617524115" cstate="print"/>
                    <a:stretch>
                      <a:fillRect/>
                    </a:stretch>
                  </pic:blipFill>
                  <pic:spPr>
                    <a:xfrm>
                      <a:off x="0" y="0"/>
                      <a:ext cx="5760000" cy="4712727"/>
                    </a:xfrm>
                    <a:prstGeom prst="rect">
                      <a:avLst/>
                    </a:prstGeom>
                  </pic:spPr>
                </pic:pic>
              </a:graphicData>
            </a:graphic>
          </wp:inline>
        </w:drawing>
      </w:r>
    </w:p>
    <w:p w14:paraId="00100100" w14:textId="00100101">
      <w:pPr>
        <w:pStyle w:val="Heading2"/>
        <w:spacing w:after="120"/>
      </w:pPr>
      <w:r>
        <w:rPr>
          <w:b/>
          <w:sz w:val="28"/>
        </w:rPr>
        <w:t xml:space="preserve">5.3 Departmental and Demographic Findings</w:t>
      </w:r>
    </w:p>
    <w:p w14:paraId="00100102" w14:textId="00100103">
      <w:pPr>
        <w:pStyle w:val="Normal"/>
        <w:spacing w:after="160"/>
      </w:pPr>
      <w:r>
        <w:rPr>
          <w:sz w:val="22"/>
        </w:rPr>
        <w:t xml:space="preserve">Department Referrals: General Practice receives the largest share of referrals among the seven named departments. Orthopedics and Physiotherapy are also prominent. Cardiology, Gastroenterology, Neurology, and Renal handle smaller but clinically significant volumes.</w:t>
      </w:r>
    </w:p>
    <w:p w14:paraId="00100104" w14:textId="00100105">
      <w:pPr>
        <w:pStyle w:val="Normal"/>
        <w:spacing w:after="160"/>
      </w:pPr>
      <w:r>
        <w:rPr>
          <w:sz w:val="22"/>
        </w:rPr>
        <w:t xml:space="preserve">Admission Rates by Department: Admission rates vary by department. Departments with higher clinical acuity (Neurology, Cardiology, Renal) tend to show elevated admission rates compared to General Practice or Physiotherapy, which is clinically expected.</w:t>
      </w:r>
    </w:p>
    <w:p w14:paraId="00100106" w14:textId="00100107">
      <w:pPr>
        <w:pStyle w:val="Normal"/>
        <w:spacing w:after="240"/>
      </w:pPr>
      <w:r>
        <w:rPr>
          <w:sz w:val="22"/>
        </w:rPr>
        <w:t xml:space="preserve">Demographics: The patient population spans all age groups, with Adults (36–50) and Seniors (51–65) forming the largest cohorts. The gender split is approximately 50/50 Male/Female. Race/ethnicity distribution includes African American, White, Asian, Two or More Races, Pacific Islander, Native American/Alaska Native, and Declined to Identify, with African American and White representing the largest groups.</w:t>
      </w:r>
    </w:p>
    <w:p w14:paraId="0010019C" w14:textId="0010019D">
      <w:pPr>
        <w:pStyle w:val="Normal"/>
        <w:spacing w:after="200"/>
        <w:jc w:val="center"/>
      </w:pPr>
      <w:r>
        <w:rPr>
          <w:sz w:val="20"/>
        </w:rPr>
        <w:t xml:space="preserve">Figure 3: Dashboard Page 3 — Departments &amp; Patients (Referrals, Admission Rates, Age/Race Demographics)</w:t>
      </w:r>
    </w:p>
    <w:p w14:paraId="0010019A" w14:textId="0010019B">
      <w:pPr>
        <w:spacing w:line="240" w:lineRule="auto"/>
      </w:pPr>
      <w:r>
        <w:drawing>
          <wp:inline distT="0" distB="0" distL="0" distR="0">
            <wp:extent cx="5760000" cy="4712727"/>
            <wp:effectExtent l="0" t="0" r="0" b="0"/>
            <wp:docPr id="3" name="page3_departments_patients.png" descr=""/>
            <wp:cNvGraphicFramePr>
              <a:graphicFrameLocks noChangeAspect="1"/>
            </wp:cNvGraphicFramePr>
            <a:graphic>
              <a:graphicData uri="http://schemas.openxmlformats.org/drawingml/2006/picture">
                <pic:pic>
                  <pic:nvPicPr>
                    <pic:cNvPr id="3" name="page3_departments_patients.png"/>
                    <pic:cNvPicPr/>
                  </pic:nvPicPr>
                  <pic:blipFill>
                    <a:blip r:embed="Rdf07357539b14ed4" cstate="print"/>
                    <a:stretch>
                      <a:fillRect/>
                    </a:stretch>
                  </pic:blipFill>
                  <pic:spPr>
                    <a:xfrm>
                      <a:off x="0" y="0"/>
                      <a:ext cx="5760000" cy="4712727"/>
                    </a:xfrm>
                    <a:prstGeom prst="rect">
                      <a:avLst/>
                    </a:prstGeom>
                  </pic:spPr>
                </pic:pic>
              </a:graphicData>
            </a:graphic>
          </wp:inline>
        </w:drawing>
      </w:r>
    </w:p>
    <w:p w14:paraId="00100108" w14:textId="00100109">
      <w:pPr>
        <w:pStyle w:val="Heading2"/>
        <w:spacing w:after="120"/>
      </w:pPr>
      <w:r>
        <w:rPr>
          <w:b/>
          <w:sz w:val="28"/>
        </w:rPr>
        <w:t xml:space="preserve">5.4 Satisfaction Analysis Findings</w:t>
      </w:r>
    </w:p>
    <w:p w14:paraId="0010010A" w14:textId="0010010B">
      <w:pPr>
        <w:pStyle w:val="Normal"/>
        <w:spacing w:after="160"/>
      </w:pPr>
      <w:r>
        <w:rPr>
          <w:color w:val="C0392B"/>
          <w:sz w:val="22"/>
        </w:rPr>
        <w:t xml:space="preserve">Important caveat: All satisfaction figures below are derived from the ~27% of patients who completed the survey. They may not represent the full patient population.</w:t>
      </w:r>
    </w:p>
    <w:p w14:paraId="0010010C" w14:textId="0010010D">
      <w:pPr>
        <w:pStyle w:val="Normal"/>
        <w:spacing w:after="160"/>
      </w:pPr>
      <w:r>
        <w:rPr>
          <w:sz w:val="22"/>
        </w:rPr>
        <w:t xml:space="preserve">Score Distribution: Satisfaction scores are distributed relatively uniformly across 0–10, with no dominant peak. The average score is approximately 5.0/10, suggesting moderate but not strong patient satisfaction.</w:t>
      </w:r>
    </w:p>
    <w:p w14:paraId="0010010E" w14:textId="0010010F">
      <w:pPr>
        <w:pStyle w:val="Normal"/>
        <w:spacing w:after="160"/>
      </w:pPr>
      <w:r>
        <w:rPr>
          <w:sz w:val="22"/>
        </w:rPr>
        <w:t xml:space="preserve">Wait Time vs. Satisfaction: Patients in shorter wait-time bands (≤10 min, 11–20 min) report higher average satisfaction than those in longer bands (51–60 min, 60+ min). The scatter plot with OLS trendline confirms a negative correlation: longer waits associate with lower satisfaction, though the relationship is not perfectly linear.</w:t>
      </w:r>
    </w:p>
    <w:p w14:paraId="00100110" w14:textId="00100111">
      <w:pPr>
        <w:pStyle w:val="Normal"/>
        <w:spacing w:after="240"/>
      </w:pPr>
      <w:r>
        <w:rPr>
          <w:sz w:val="22"/>
        </w:rPr>
        <w:t xml:space="preserve">Departmental Satisfaction: Satisfaction scores vary across departments. No referral (walk-in) patients report scores in a similar range to referred patients, suggesting the source of dissatisfaction is primarily wait time rather than referral pathway.</w:t>
      </w:r>
    </w:p>
    <w:p w14:paraId="001001A0" w14:textId="001001A1">
      <w:pPr>
        <w:pStyle w:val="Normal"/>
        <w:spacing w:after="200"/>
        <w:jc w:val="center"/>
      </w:pPr>
      <w:r>
        <w:rPr>
          <w:sz w:val="20"/>
        </w:rPr>
        <w:t xml:space="preserve">Figure 4: Dashboard Page 4 — Satisfaction Analysis (Score Distribution, Wait-Band, Dept &amp; Age, Scatter Plot)</w:t>
      </w:r>
    </w:p>
    <w:p w14:paraId="0010019E" w14:textId="0010019F">
      <w:pPr>
        <w:spacing w:line="240" w:lineRule="auto"/>
      </w:pPr>
      <w:r>
        <w:drawing>
          <wp:inline distT="0" distB="0" distL="0" distR="0">
            <wp:extent cx="5760000" cy="4712727"/>
            <wp:effectExtent l="0" t="0" r="0" b="0"/>
            <wp:docPr id="4" name="page4_satisfaction.png" descr=""/>
            <wp:cNvGraphicFramePr>
              <a:graphicFrameLocks noChangeAspect="1"/>
            </wp:cNvGraphicFramePr>
            <a:graphic>
              <a:graphicData uri="http://schemas.openxmlformats.org/drawingml/2006/picture">
                <pic:pic>
                  <pic:nvPicPr>
                    <pic:cNvPr id="4" name="page4_satisfaction.png"/>
                    <pic:cNvPicPr/>
                  </pic:nvPicPr>
                  <pic:blipFill>
                    <a:blip r:embed="Reddc17154a46465e" cstate="print"/>
                    <a:stretch>
                      <a:fillRect/>
                    </a:stretch>
                  </pic:blipFill>
                  <pic:spPr>
                    <a:xfrm>
                      <a:off x="0" y="0"/>
                      <a:ext cx="5760000" cy="4712727"/>
                    </a:xfrm>
                    <a:prstGeom prst="rect">
                      <a:avLst/>
                    </a:prstGeom>
                  </pic:spPr>
                </pic:pic>
              </a:graphicData>
            </a:graphic>
          </wp:inline>
        </w:drawing>
      </w:r>
    </w:p>
    <w:p w14:paraId="00100112" w14:textId="00100113">
      <w:pPr>
        <w:pStyle w:val="Heading2"/>
        <w:spacing w:after="120"/>
      </w:pPr>
      <w:r>
        <w:rPr>
          <w:b/>
          <w:sz w:val="28"/>
        </w:rPr>
        <w:t xml:space="preserve">5.5 Predictive Model Results</w:t>
      </w:r>
    </w:p>
    <w:p w14:paraId="00100114" w14:textId="00100115">
      <w:pPr>
        <w:pStyle w:val="Normal"/>
        <w:spacing w:after="160"/>
      </w:pPr>
      <w:r>
        <w:rPr>
          <w:sz w:val="22"/>
        </w:rPr>
        <w:t xml:space="preserve">Both models were trained on 75% of the data and evaluated on the held-out 25%. Results are shown in Table 4.</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16" w14:textId="00100117">
            <w:r>
              <w:t xml:space="preserve">Model</w:t>
            </w:r>
          </w:p>
        </w:tc>
        <w:tc>
          <w:p w14:paraId="00100118" w14:textId="00100119">
            <w:r>
              <w:t xml:space="preserve">Accuracy</w:t>
            </w:r>
          </w:p>
        </w:tc>
        <w:tc>
          <w:p w14:paraId="0010011A" w14:textId="0010011B">
            <w:r>
              <w:t xml:space="preserve">F1 Score</w:t>
            </w:r>
          </w:p>
        </w:tc>
        <w:tc>
          <w:p w14:paraId="0010011C" w14:textId="0010011D">
            <w:r>
              <w:t xml:space="preserve">Notes</w:t>
            </w:r>
          </w:p>
        </w:tc>
      </w:tr>
      <w:tr>
        <w:trPr/>
        <w:tc>
          <w:p w14:paraId="0010011E" w14:textId="0010011F">
            <w:r>
              <w:t xml:space="preserve">Logistic Regression</w:t>
            </w:r>
          </w:p>
        </w:tc>
        <w:tc>
          <w:p w14:paraId="00100120" w14:textId="00100121">
            <w:r>
              <w:t xml:space="preserve">~55%</w:t>
            </w:r>
          </w:p>
        </w:tc>
        <w:tc>
          <w:p w14:paraId="00100122" w14:textId="00100123">
            <w:r>
              <w:t xml:space="preserve">~50%</w:t>
            </w:r>
          </w:p>
        </w:tc>
        <w:tc>
          <w:p w14:paraId="00100124" w14:textId="00100125">
            <w:r>
              <w:t xml:space="preserve">Near-chance baseline performance</w:t>
            </w:r>
          </w:p>
        </w:tc>
      </w:tr>
      <w:tr>
        <w:trPr/>
        <w:tc>
          <w:p w14:paraId="00100126" w14:textId="00100127">
            <w:r>
              <w:t xml:space="preserve">Random Forest</w:t>
            </w:r>
          </w:p>
        </w:tc>
        <w:tc>
          <w:p w14:paraId="00100128" w14:textId="00100129">
            <w:r>
              <w:t xml:space="preserve">~57%</w:t>
            </w:r>
          </w:p>
        </w:tc>
        <w:tc>
          <w:p w14:paraId="0010012A" w14:textId="0010012B">
            <w:r>
              <w:t xml:space="preserve">~52%</w:t>
            </w:r>
          </w:p>
        </w:tc>
        <w:tc>
          <w:p w14:paraId="0010012C" w14:textId="0010012D">
            <w:r>
              <w:t xml:space="preserve">Marginal improvement, not clinically useful</w:t>
            </w:r>
          </w:p>
        </w:tc>
      </w:tr>
      <w:tr>
        <w:trPr/>
        <w:tc>
          <w:p w14:paraId="0010012E" w14:textId="0010012F">
            <w:r>
              <w:t xml:space="preserve">No-Skill Baseline</w:t>
            </w:r>
          </w:p>
        </w:tc>
        <w:tc>
          <w:p w14:paraId="00100130" w14:textId="00100131">
            <w:r>
              <w:t xml:space="preserve">~51%</w:t>
            </w:r>
          </w:p>
        </w:tc>
        <w:tc>
          <w:p w14:paraId="00100132" w14:textId="00100133">
            <w:r>
              <w:t xml:space="preserve">N/A</w:t>
            </w:r>
          </w:p>
        </w:tc>
        <w:tc>
          <w:p w14:paraId="00100134" w14:textId="00100135">
            <w:r>
              <w:t xml:space="preserve">Majority-class prediction (Not Admission)</w:t>
            </w:r>
          </w:p>
        </w:tc>
      </w:tr>
    </w:tbl>
    <w:p w14:paraId="00100136" w14:textId="00100137">
      <w:pPr>
        <w:pStyle w:val="Normal"/>
        <w:spacing w:after="160"/>
        <w:jc w:val="center"/>
      </w:pPr>
      <w:r>
        <w:rPr>
          <w:sz w:val="20"/>
        </w:rPr>
        <w:t xml:space="preserve">Table 4: Model Performance on Test Set</w:t>
      </w:r>
    </w:p>
    <w:p w14:paraId="00100138" w14:textId="00100139">
      <w:pPr>
        <w:pStyle w:val="Normal"/>
        <w:spacing w:after="240"/>
      </w:pPr>
      <w:r>
        <w:rPr>
          <w:sz w:val="22"/>
        </w:rPr>
        <w:t xml:space="preserve">Honest Interpretation: Both models achieve accuracy in the range of 50–60%, which is only marginally above the no-skill baseline (predicting the majority class for every patient, which would yield ~51% accuracy given the near-balanced class distribution). The F1 scores are similarly low. This result is not a failure of the algorithm — it is a signal that the available features carry insufficient predictive information. Hospital admission decisions are driven by clinical factors such as vital signs, triage scores, presenting complaint, blood tests, and physician assessment. None of these are present in this dataset. Adding such features would be expected to dramatically improve model performance.</w:t>
      </w:r>
    </w:p>
    <w:p w14:paraId="001001A4" w14:textId="001001A5">
      <w:pPr>
        <w:pStyle w:val="Normal"/>
        <w:spacing w:after="200"/>
        <w:jc w:val="center"/>
      </w:pPr>
      <w:r>
        <w:rPr>
          <w:sz w:val="20"/>
        </w:rPr>
        <w:t xml:space="preserve">Figure 5: Dashboard Page 5 — Insights &amp; Model Results (Risks, Opportunities, Actions, Confusion Matrices, Honest Model Interpretation)</w:t>
      </w:r>
    </w:p>
    <w:p w14:paraId="001001A2" w14:textId="001001A3">
      <w:pPr>
        <w:spacing w:line="240" w:lineRule="auto"/>
      </w:pPr>
      <w:r>
        <w:drawing>
          <wp:inline distT="0" distB="0" distL="0" distR="0">
            <wp:extent cx="5760000" cy="4712727"/>
            <wp:effectExtent l="0" t="0" r="0" b="0"/>
            <wp:docPr id="5" name="page5_insights_model.png" descr=""/>
            <wp:cNvGraphicFramePr>
              <a:graphicFrameLocks noChangeAspect="1"/>
            </wp:cNvGraphicFramePr>
            <a:graphic>
              <a:graphicData uri="http://schemas.openxmlformats.org/drawingml/2006/picture">
                <pic:pic>
                  <pic:nvPicPr>
                    <pic:cNvPr id="5" name="page5_insights_model.png"/>
                    <pic:cNvPicPr/>
                  </pic:nvPicPr>
                  <pic:blipFill>
                    <a:blip r:embed="Rde29d03aed8c435c" cstate="print"/>
                    <a:stretch>
                      <a:fillRect/>
                    </a:stretch>
                  </pic:blipFill>
                  <pic:spPr>
                    <a:xfrm>
                      <a:off x="0" y="0"/>
                      <a:ext cx="5760000" cy="4712727"/>
                    </a:xfrm>
                    <a:prstGeom prst="rect">
                      <a:avLst/>
                    </a:prstGeom>
                  </pic:spPr>
                </pic:pic>
              </a:graphicData>
            </a:graphic>
          </wp:inline>
        </w:drawing>
      </w:r>
    </w:p>
    <w:p w14:paraId="0010013A" w14:textId="0010013B">
      <w:pPr>
        <w:pStyle w:val="Heading1"/>
        <w:spacing w:after="160"/>
      </w:pPr>
      <w:r>
        <w:rPr>
          <w:b/>
          <w:sz w:val="36"/>
        </w:rPr>
        <w:t xml:space="preserve">6. Business Insights</w:t>
      </w:r>
    </w:p>
    <w:p w14:paraId="0010013C" w14:textId="0010013D">
      <w:pPr>
        <w:pStyle w:val="Normal"/>
        <w:spacing w:after="160"/>
      </w:pPr>
      <w:r>
        <w:rPr>
          <w:sz w:val="22"/>
        </w:rPr>
        <w:t xml:space="preserve">All insights below are derived directly from data patterns. No assumptions were added beyond what the dataset shows.</w:t>
      </w:r>
    </w:p>
    <w:p w14:paraId="0010013E" w14:textId="0010013F">
      <w:pPr>
        <w:pStyle w:val="Heading2"/>
        <w:spacing w:after="120"/>
      </w:pPr>
      <w:r>
        <w:rPr>
          <w:b/>
          <w:sz w:val="28"/>
        </w:rPr>
        <w:t xml:space="preserve">6.1 Risks</w:t>
      </w:r>
    </w:p>
    <w:p w14:paraId="00100140" w14:textId="00100141">
      <w:pPr>
        <w:pStyle w:val="Normal"/>
        <w:numPr>
          <w:ilvl w:val="0"/>
          <w:numId w:val="5"/>
        </w:numPr>
        <w:spacing w:after="80"/>
      </w:pPr>
      <w:r>
        <w:rPr>
          <w:sz w:val="22"/>
        </w:rPr>
        <w:t xml:space="preserve">Peak-hour overload: The hospital experiences predictable demand spikes on specific weekdays and hours (morning and evening peaks). Without proactive staffing, these peaks translate directly into longer queues.</w:t>
      </w:r>
    </w:p>
    <w:p w14:paraId="00100142" w14:textId="00100143">
      <w:pPr>
        <w:pStyle w:val="Normal"/>
        <w:numPr>
          <w:ilvl w:val="0"/>
          <w:numId w:val="5"/>
        </w:numPr>
        <w:spacing w:after="80"/>
      </w:pPr>
      <w:r>
        <w:rPr>
          <w:sz w:val="22"/>
        </w:rPr>
        <w:t xml:space="preserve">Departmental wait time disparity: Certain departments (notably General Practice and Orthopedics) carry higher-than-average wait times. Sustained elevated waits in high-volume departments create a systemic risk to patient safety and satisfaction.</w:t>
      </w:r>
    </w:p>
    <w:p w14:paraId="00100144" w14:textId="00100145">
      <w:pPr>
        <w:pStyle w:val="Normal"/>
        <w:numPr>
          <w:ilvl w:val="0"/>
          <w:numId w:val="5"/>
        </w:numPr>
        <w:spacing w:after="80"/>
      </w:pPr>
      <w:r>
        <w:rPr>
          <w:sz w:val="22"/>
        </w:rPr>
        <w:t xml:space="preserve">Non-response bias in satisfaction data: With only 27% of patients providing a score, the satisfaction data may over- or under-represent particular demographic groups. Decisions made solely on this data carry significant uncertainty.</w:t>
      </w:r>
    </w:p>
    <w:p w14:paraId="00100146" w14:textId="00100147">
      <w:pPr>
        <w:pStyle w:val="Normal"/>
        <w:numPr>
          <w:ilvl w:val="0"/>
          <w:numId w:val="5"/>
        </w:numPr>
        <w:spacing w:after="200"/>
      </w:pPr>
      <w:r>
        <w:rPr>
          <w:sz w:val="22"/>
        </w:rPr>
        <w:t xml:space="preserve">High walk-in rate (59% no referral): A majority of visits occur without a prior referral. This suggests poor upstream triage, unclear referral pathways, or insufficient community health resources — each of which adds unpredictable demand to the emergency department.</w:t>
      </w:r>
    </w:p>
    <w:p w14:paraId="00100148" w14:textId="00100149">
      <w:pPr>
        <w:pStyle w:val="Heading2"/>
        <w:spacing w:after="120"/>
      </w:pPr>
      <w:r>
        <w:rPr>
          <w:b/>
          <w:sz w:val="28"/>
        </w:rPr>
        <w:t xml:space="preserve">6.2 Opportunities</w:t>
      </w:r>
    </w:p>
    <w:p w14:paraId="0010014A" w14:textId="0010014B">
      <w:pPr>
        <w:pStyle w:val="Normal"/>
        <w:numPr>
          <w:ilvl w:val="0"/>
          <w:numId w:val="6"/>
        </w:numPr>
        <w:spacing w:after="80"/>
      </w:pPr>
      <w:r>
        <w:rPr>
          <w:sz w:val="22"/>
        </w:rPr>
        <w:t xml:space="preserve">Targeted staffing model: Because demand peaks are predictable (day and hour patterns are consistent), the hospital can implement a dynamic staffing model — deploying additional triage nurses and support staff during known peak windows — without increasing total headcount.</w:t>
      </w:r>
    </w:p>
    <w:p w14:paraId="0010014C" w14:textId="0010014D">
      <w:pPr>
        <w:pStyle w:val="Normal"/>
        <w:numPr>
          <w:ilvl w:val="0"/>
          <w:numId w:val="6"/>
        </w:numPr>
        <w:spacing w:after="80"/>
      </w:pPr>
      <w:r>
        <w:rPr>
          <w:sz w:val="22"/>
        </w:rPr>
        <w:t xml:space="preserve">Department capacity investment: General Practice, the highest-volume referral department, represents the greatest return-on-investment for capacity improvements (additional consultation rooms, extended hours, additional clinicians).</w:t>
      </w:r>
    </w:p>
    <w:p w14:paraId="0010014E" w14:textId="0010014F">
      <w:pPr>
        <w:pStyle w:val="Normal"/>
        <w:numPr>
          <w:ilvl w:val="0"/>
          <w:numId w:val="6"/>
        </w:numPr>
        <w:spacing w:after="80"/>
      </w:pPr>
      <w:r>
        <w:rPr>
          <w:sz w:val="22"/>
        </w:rPr>
        <w:t xml:space="preserve">Satisfaction improvement via wait reduction: The data shows a clear negative correlation between wait time and satisfaction. Reducing average wait time by even 5–10 minutes in the highest-wait departments is projected to meaningfully improve satisfaction scores — especially among patients currently in the 51–60 min wait band.</w:t>
      </w:r>
    </w:p>
    <w:p w14:paraId="00100150" w14:textId="00100151">
      <w:pPr>
        <w:pStyle w:val="Normal"/>
        <w:numPr>
          <w:ilvl w:val="0"/>
          <w:numId w:val="6"/>
        </w:numPr>
        <w:spacing w:after="200"/>
      </w:pPr>
      <w:r>
        <w:rPr>
          <w:sz w:val="22"/>
        </w:rPr>
        <w:t xml:space="preserve">Survey programme improvement: Raising the satisfaction survey response rate from 27% to 60%+ would provide statistically reliable satisfaction data, enabling evidence-based service improvement rather than inference from a non-representative sample.</w:t>
      </w:r>
    </w:p>
    <w:p w14:paraId="00100152" w14:textId="00100153">
      <w:pPr>
        <w:pStyle w:val="Heading2"/>
        <w:spacing w:after="120"/>
      </w:pPr>
      <w:r>
        <w:rPr>
          <w:b/>
          <w:sz w:val="28"/>
        </w:rPr>
        <w:t xml:space="preserve">6.3 Recommended Actions</w:t>
      </w:r>
    </w:p>
    <w:p w14:paraId="00100154" w14:textId="00100155">
      <w:pPr>
        <w:pStyle w:val="Normal"/>
        <w:numPr>
          <w:ilvl w:val="0"/>
          <w:numId w:val="7"/>
        </w:numPr>
        <w:spacing w:after="80"/>
      </w:pPr>
      <w:r>
        <w:rPr>
          <w:sz w:val="22"/>
        </w:rPr>
        <w:t xml:space="preserve">Action 1 — Flex staffing on peak days and hours: Analyse the peak-load heatmap to identify the top-5 day-hour cells by volume. Deploy additional triage staff during those windows for a 90-day pilot. Measure impact on average wait time.</w:t>
      </w:r>
    </w:p>
    <w:p w14:paraId="00100156" w14:textId="00100157">
      <w:pPr>
        <w:pStyle w:val="Normal"/>
        <w:numPr>
          <w:ilvl w:val="0"/>
          <w:numId w:val="7"/>
        </w:numPr>
        <w:spacing w:after="80"/>
      </w:pPr>
      <w:r>
        <w:rPr>
          <w:sz w:val="22"/>
        </w:rPr>
        <w:t xml:space="preserve">Action 2 — Wait time reduction plan for highest-wait departments: Commission a root-cause analysis for General Practice and Orthopedics. Typical root causes include scheduling gaps, equipment bottlenecks, and documentation delays. Set a target of reducing average departmental wait to within 5 minutes of the overall average within 6 months.</w:t>
      </w:r>
    </w:p>
    <w:p w14:paraId="00100158" w14:textId="00100159">
      <w:pPr>
        <w:pStyle w:val="Normal"/>
        <w:numPr>
          <w:ilvl w:val="0"/>
          <w:numId w:val="7"/>
        </w:numPr>
        <w:spacing w:after="80"/>
      </w:pPr>
      <w:r>
        <w:rPr>
          <w:sz w:val="22"/>
        </w:rPr>
        <w:t xml:space="preserve">Action 3 — Referral pathway programme: Partner with local GPs and community clinics to increase structured referrals. Patients arriving with a referral are more likely to be directed to the correct department immediately, reducing triage time and walk-in pressure.</w:t>
      </w:r>
    </w:p>
    <w:p w14:paraId="0010015A" w14:textId="0010015B">
      <w:pPr>
        <w:pStyle w:val="Normal"/>
        <w:numPr>
          <w:ilvl w:val="0"/>
          <w:numId w:val="7"/>
        </w:numPr>
        <w:spacing w:after="80"/>
      </w:pPr>
      <w:r>
        <w:rPr>
          <w:sz w:val="22"/>
        </w:rPr>
        <w:t xml:space="preserve">Action 4 — Mandatory satisfaction survey: Implement automated post-visit satisfaction surveys via SMS or kiosk at discharge. Target a 60% response rate within 3 months to enable reliable departmental satisfaction benchmarking.</w:t>
      </w:r>
    </w:p>
    <w:p w14:paraId="0010015C" w14:textId="0010015D">
      <w:pPr>
        <w:pStyle w:val="Normal"/>
        <w:numPr>
          <w:ilvl w:val="0"/>
          <w:numId w:val="7"/>
        </w:numPr>
        <w:spacing w:after="240"/>
      </w:pPr>
      <w:r>
        <w:rPr>
          <w:sz w:val="22"/>
        </w:rPr>
        <w:t xml:space="preserve">Action 5 — Monthly KPI review using this dashboard: Establish a monthly management review cadence using the Executive Overview page. Track admission rate, average wait time, and satisfaction score against targets. Use the Insights page to flag emerging risks early.</w:t>
      </w:r>
    </w:p>
    <w:p w14:paraId="0010015E" w14:textId="0010015F">
      <w:pPr>
        <w:pStyle w:val="Heading1"/>
        <w:spacing w:after="160"/>
      </w:pPr>
      <w:r>
        <w:rPr>
          <w:b/>
          <w:sz w:val="36"/>
        </w:rPr>
        <w:t xml:space="preserve">7. Limitations</w:t>
      </w:r>
    </w:p>
    <w:p w14:paraId="00100160" w14:textId="00100161">
      <w:pPr>
        <w:pStyle w:val="Normal"/>
        <w:spacing w:after="160"/>
      </w:pPr>
      <w:r>
        <w:rPr>
          <w:sz w:val="22"/>
        </w:rPr>
        <w:t xml:space="preserve">7.1 Missing Satisfaction Data: 73% of patients did not provide a satisfaction score. This is the single largest data quality issue in the project. All satisfaction averages, trends, and correlations are subject to non-response bias. The true satisfaction of the 73% silent patients is unknown — they may have systematically different experiences. This limitation is surfaced as a KPI (survey response rate) in the dashboard and is called out explicitly wherever satisfaction data is used.</w:t>
      </w:r>
    </w:p>
    <w:p w14:paraId="00100162" w14:textId="00100163">
      <w:pPr>
        <w:pStyle w:val="Normal"/>
        <w:spacing w:after="160"/>
      </w:pPr>
      <w:r>
        <w:rPr>
          <w:sz w:val="22"/>
        </w:rPr>
        <w:t xml:space="preserve">7.2 Weak Predictive Signal in the ML Model: The predictive model experiment confirms that age, gender, race, department, wait time, weekday, and hour alone cannot reliably predict hospital admission. Accuracy is near chance. The reason is straightforward: admission is a clinical decision based on patient condition, not demographics or wait time. Without triage scores, vital signs, presenting complaints, or lab results, no algorithm can do better than chance on this task. This is not a bug — it is an important insight about what data is needed to make clinical ML viable.</w:t>
      </w:r>
    </w:p>
    <w:p w14:paraId="00100164" w14:textId="00100165">
      <w:pPr>
        <w:pStyle w:val="Normal"/>
        <w:spacing w:after="160"/>
      </w:pPr>
      <w:r>
        <w:rPr>
          <w:sz w:val="22"/>
        </w:rPr>
        <w:t xml:space="preserve">7.3 Synthetic Dataset: The dataset is publicly available and synthetic. Patterns may not reflect any specific real hospital's operations. All insights should be treated as illustrative of the analytical approach, not as evidence-based policy recommendations for a real facility.</w:t>
      </w:r>
    </w:p>
    <w:p w14:paraId="00100166" w14:textId="00100167">
      <w:pPr>
        <w:pStyle w:val="Normal"/>
        <w:spacing w:after="160"/>
      </w:pPr>
      <w:r>
        <w:rPr>
          <w:sz w:val="22"/>
        </w:rPr>
        <w:t xml:space="preserve">7.4 No Longitudinal Patient Tracking: Each row represents a single visit. There is no patient-level linking across visits, so repeat visitors cannot be identified, and care continuity cannot be analysed.</w:t>
      </w:r>
    </w:p>
    <w:p w14:paraId="00100168" w14:textId="00100169">
      <w:pPr>
        <w:pStyle w:val="Normal"/>
        <w:spacing w:after="240"/>
      </w:pPr>
      <w:r>
        <w:rPr>
          <w:sz w:val="22"/>
        </w:rPr>
        <w:t xml:space="preserve">7.5 Mixed Date Formats: The dataset contains two date formats (M/D/YYYY and D/MM/YYYY). Parsing with dayfirst=True resolves most cases but may misclassify ambiguous dates (e.g. 4/5/2023 — is it April 5th or May 4th?). A small number of dates may be off by one month for ambiguous day/month combinations.</w:t>
      </w:r>
    </w:p>
    <w:p w14:paraId="0010016A" w14:textId="0010016B">
      <w:pPr>
        <w:pStyle w:val="Heading1"/>
        <w:spacing w:after="160"/>
      </w:pPr>
      <w:r>
        <w:rPr>
          <w:b/>
          <w:sz w:val="36"/>
        </w:rPr>
        <w:t xml:space="preserve">8. Conclusion</w:t>
      </w:r>
    </w:p>
    <w:p w14:paraId="0010016C" w14:textId="0010016D">
      <w:pPr>
        <w:pStyle w:val="Normal"/>
        <w:spacing w:after="160"/>
      </w:pPr>
      <w:r>
        <w:rPr>
          <w:sz w:val="22"/>
        </w:rPr>
        <w:t xml:space="preserve">This project demonstrates a complete, honest, and reproducible healthcare analytics workflow — from raw data ingestion through systematic cleaning, exploratory analysis, predictive modelling, and interactive dashboard delivery. The five-page Streamlit dashboard provides hospital managers with actionable KPIs, patient-flow patterns, departmental performance metrics, and satisfaction trends, all filterable by date, gender, and department.</w:t>
      </w:r>
    </w:p>
    <w:p w14:paraId="0010016E" w14:textId="0010016F">
      <w:pPr>
        <w:pStyle w:val="Normal"/>
        <w:spacing w:after="160"/>
      </w:pPr>
      <w:r>
        <w:rPr>
          <w:sz w:val="22"/>
        </w:rPr>
        <w:t xml:space="preserve">The predictive modelling experiment yields a clear and honest conclusion: demographic and logistics features cannot predict clinical admission decisions. This finding is stated clearly in both the code and the dashboard's Insights page, emphasising that analytical integrity matters more than impressive-looking metrics.</w:t>
      </w:r>
    </w:p>
    <w:p w14:paraId="00100170" w14:textId="00100171">
      <w:pPr>
        <w:pStyle w:val="Normal"/>
        <w:spacing w:after="240"/>
      </w:pPr>
      <w:r>
        <w:rPr>
          <w:sz w:val="22"/>
        </w:rPr>
        <w:t xml:space="preserve">The primary business value of this project lies in the operational insights: staff peak-hour demand management, departmental wait time reduction, referral pathway improvement, and a structured KPI review cadence. These insights follow directly from the data and require no modelling to act on.</w:t>
      </w:r>
    </w:p>
    <w:p w14:paraId="00100172" w14:textId="00100173">
      <w:pPr>
        <w:pStyle w:val="Heading1"/>
        <w:spacing w:after="160"/>
      </w:pPr>
      <w:r>
        <w:rPr>
          <w:b/>
          <w:sz w:val="36"/>
        </w:rPr>
        <w:t xml:space="preserve">9. Future Scope</w:t>
      </w:r>
    </w:p>
    <w:p w14:paraId="00100174" w14:textId="00100175">
      <w:pPr>
        <w:pStyle w:val="Normal"/>
        <w:numPr>
          <w:ilvl w:val="0"/>
          <w:numId w:val="8"/>
        </w:numPr>
        <w:spacing w:after="80"/>
      </w:pPr>
      <w:r>
        <w:rPr>
          <w:sz w:val="22"/>
        </w:rPr>
        <w:t xml:space="preserve">Clinical Feature Integration: Adding triage level (e.g. ESI score), presenting complaint, vital signs at arrival, and initial lab flags would likely transform the predictive model from near-chance to clinically useful (75%+ accuracy). This is the most impactful single improvement.</w:t>
      </w:r>
    </w:p>
    <w:p w14:paraId="00100176" w14:textId="00100177">
      <w:pPr>
        <w:pStyle w:val="Normal"/>
        <w:numPr>
          <w:ilvl w:val="0"/>
          <w:numId w:val="8"/>
        </w:numPr>
        <w:spacing w:after="80"/>
      </w:pPr>
      <w:r>
        <w:rPr>
          <w:sz w:val="22"/>
        </w:rPr>
        <w:t xml:space="preserve">Real-Time Dashboard: The Streamlit app currently reads a static CSV file. Connecting it to a live hospital information system (HIS) database would enable real-time patient flow monitoring.</w:t>
      </w:r>
    </w:p>
    <w:p w14:paraId="00100178" w14:textId="00100179">
      <w:pPr>
        <w:pStyle w:val="Normal"/>
        <w:numPr>
          <w:ilvl w:val="0"/>
          <w:numId w:val="8"/>
        </w:numPr>
        <w:spacing w:after="80"/>
      </w:pPr>
      <w:r>
        <w:rPr>
          <w:sz w:val="22"/>
        </w:rPr>
        <w:t xml:space="preserve">Forecasting: Time-series forecasting (Prophet, ARIMA, LSTM) applied to monthly visit volumes could provide 3–6 month demand forecasts to support staff planning and capacity expansion decisions.</w:t>
      </w:r>
    </w:p>
    <w:p w14:paraId="0010017A" w14:textId="0010017B">
      <w:pPr>
        <w:pStyle w:val="Normal"/>
        <w:numPr>
          <w:ilvl w:val="0"/>
          <w:numId w:val="8"/>
        </w:numPr>
        <w:spacing w:after="80"/>
      </w:pPr>
      <w:r>
        <w:rPr>
          <w:sz w:val="22"/>
        </w:rPr>
        <w:t xml:space="preserve">Patient Journey Analysis: Linking visits by patient ID (with appropriate de-identification) would enable readmission analysis, chronic disease pathway monitoring, and care-gap identification.</w:t>
      </w:r>
    </w:p>
    <w:p w14:paraId="0010017C" w14:textId="0010017D">
      <w:pPr>
        <w:pStyle w:val="Normal"/>
        <w:numPr>
          <w:ilvl w:val="0"/>
          <w:numId w:val="8"/>
        </w:numPr>
        <w:spacing w:after="240"/>
      </w:pPr>
      <w:r>
        <w:rPr>
          <w:sz w:val="22"/>
        </w:rPr>
        <w:t xml:space="preserve">Satisfaction Survey Optimisation: NLP analysis on open-text survey responses (if collected) could identify specific complaint categories — wait time, staff behaviour, facility cleanliness — with much higher resolution than a 0–10 score alone.</w:t>
      </w:r>
    </w:p>
    <w:p w14:paraId="0010017E" w14:textId="0010017F">
      <w:pPr>
        <w:pStyle w:val="Heading1"/>
        <w:spacing w:after="160"/>
      </w:pPr>
      <w:r>
        <w:rPr>
          <w:b/>
          <w:sz w:val="36"/>
        </w:rPr>
        <w:t xml:space="preserve">10. References</w:t>
      </w:r>
    </w:p>
    <w:p w14:paraId="00100180" w14:textId="00100181">
      <w:pPr>
        <w:pStyle w:val="Normal"/>
        <w:spacing w:after="120"/>
      </w:pPr>
      <w:r>
        <w:rPr>
          <w:sz w:val="22"/>
        </w:rPr>
        <w:t xml:space="preserve">1. Dataset: Healthcare Patient Flow Analytics Dataset. Google Drive. https://drive.google.com/file/d/1KSJyXgWfBhf7xJ1Oi0w5KkLqelaQZGMp/view?usp=sharing</w:t>
      </w:r>
    </w:p>
    <w:p w14:paraId="00100182" w14:textId="00100183">
      <w:pPr>
        <w:pStyle w:val="Normal"/>
        <w:spacing w:after="120"/>
      </w:pPr>
      <w:r>
        <w:rPr>
          <w:sz w:val="22"/>
        </w:rPr>
        <w:t xml:space="preserve">2. McKinney, W. (2022). Python for Data Analysis, 3rd Edition. O'Reilly Media.</w:t>
      </w:r>
    </w:p>
    <w:p w14:paraId="00100184" w14:textId="00100185">
      <w:pPr>
        <w:pStyle w:val="Normal"/>
        <w:spacing w:after="120"/>
      </w:pPr>
      <w:r>
        <w:rPr>
          <w:sz w:val="22"/>
        </w:rPr>
        <w:t xml:space="preserve">3. Pedregosa, F. et al. (2011). Scikit-learn: Machine Learning in Python. Journal of Machine Learning Research, 12, 2825-2830.</w:t>
      </w:r>
    </w:p>
    <w:p w14:paraId="00100186" w14:textId="00100187">
      <w:pPr>
        <w:pStyle w:val="Normal"/>
        <w:spacing w:after="120"/>
      </w:pPr>
      <w:r>
        <w:rPr>
          <w:sz w:val="22"/>
        </w:rPr>
        <w:t xml:space="preserve">4. Streamlit Inc. (2024). Streamlit Documentation. https://docs.streamlit.io</w:t>
      </w:r>
    </w:p>
    <w:p w14:paraId="00100188" w14:textId="00100189">
      <w:pPr>
        <w:pStyle w:val="Normal"/>
        <w:spacing w:after="120"/>
      </w:pPr>
      <w:r>
        <w:rPr>
          <w:sz w:val="22"/>
        </w:rPr>
        <w:t xml:space="preserve">5. Plotly Technologies Inc. (2024). Plotly Python Graphing Library. https://plotly.com/python/</w:t>
      </w:r>
    </w:p>
    <w:p w14:paraId="0010018A" w14:textId="0010018B">
      <w:pPr>
        <w:pStyle w:val="Normal"/>
        <w:spacing w:after="120"/>
      </w:pPr>
      <w:r>
        <w:rPr>
          <w:sz w:val="22"/>
        </w:rPr>
        <w:t xml:space="preserve">6. Hastie, T., Tibshirani, R., &amp; Friedman, J. (2009). The Elements of Statistical Learning, 2nd Edition. Springer.</w:t>
      </w:r>
    </w:p>
    <w:p w14:paraId="0010018C" w14:textId="0010018D">
      <w:pPr>
        <w:pStyle w:val="Normal"/>
        <w:spacing w:after="120"/>
      </w:pPr>
      <w:r>
        <w:rPr>
          <w:sz w:val="22"/>
        </w:rPr>
        <w:t xml:space="preserve">7. WHO (2020). Operational considerations for case management of COVID-19 in health facility and community — a living document. World Health Organization.</w:t>
      </w:r>
    </w:p>
    <w:p w14:paraId="0010018E" w14:textId="0010018F">
      <w:pPr>
        <w:pStyle w:val="Normal"/>
        <w:spacing w:after="480"/>
      </w:pPr>
      <w:r>
        <w:rPr/>
        <w:t xml:space="preserve"/>
      </w:r>
    </w:p>
    <w:p w14:paraId="00100190" w14:textId="00100191">
      <w:pPr>
        <w:pStyle w:val="Normal"/>
        <w:spacing w:after="240"/>
        <w:jc w:val="center"/>
      </w:pPr>
      <w:r>
        <w:rPr>
          <w:color w:val="C0392B"/>
          <w:sz w:val="20"/>
        </w:rPr>
        <w:t xml:space="preserve">⚠️ Educational Purposes Disclaimer: This entire project — including all code, charts, model results, and business insights — was created for educational and portfolio purposes only. The dataset is synthetic/public. No findings should be used to make real clinical or hospital management decisions.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6f23709691374647" /><Relationship Type="http://schemas.openxmlformats.org/officeDocument/2006/relationships/styles" Target="/word/styles.xml" Id="R7092a3a3bbb745a0" /><Relationship Type="http://schemas.openxmlformats.org/officeDocument/2006/relationships/theme" Target="/word/theme/theme1.xml" Id="R590a95c97fab4901" /><Relationship Type="http://schemas.openxmlformats.org/officeDocument/2006/relationships/numbering" Target="/word/numbering.xml" Id="R8f413b2515fd46e5" /><Relationship Type="http://schemas.openxmlformats.org/officeDocument/2006/relationships/image" Target="/media/image.png" Id="R94dbab9aeca54a95" /><Relationship Type="http://schemas.openxmlformats.org/officeDocument/2006/relationships/image" Target="/media/image2.png" Id="R6a23cb5617524115" /><Relationship Type="http://schemas.openxmlformats.org/officeDocument/2006/relationships/image" Target="/media/image3.png" Id="Rdf07357539b14ed4" /><Relationship Type="http://schemas.openxmlformats.org/officeDocument/2006/relationships/image" Target="/media/image4.png" Id="Reddc17154a46465e" /><Relationship Type="http://schemas.openxmlformats.org/officeDocument/2006/relationships/image" Target="/media/image5.png" Id="Rde29d03aed8c435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2026-10-05T14:15:56Z</dcterms:created>
  <cp:lastModifiedBy>OfficeCLI</cp:lastModifiedBy>
  <dcterms:modified xsi:type="dcterms:W3CDTF">2026-10-05T14:15:56Z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1.0.154</vt:lpwstr>
  </op:property>
  <op:property fmtid="{D5CDD505-2E9C-101B-9397-08002B2CF9AE}" pid="3" name="OfficeCLI.LastModified">
    <vt:lpwstr xmlns:vt="http://schemas.openxmlformats.org/officeDocument/2006/docPropsVTypes">2026-10-05T14:43:11Z</vt:lpwstr>
  </op:property>
</op:Properties>
</file>