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FFFFF"/>
          <w:sz w:val="18"/>
        </w:rPr>
        <w:t>YUVAINTERN  |  AUTOMOTIVE DATA ANALYSIS SPECIALIST</w:t>
      </w:r>
    </w:p>
    <w:tbl>
      <w:tblPr>
        <w:tblW w:type="auto" w:w="0"/>
        <w:tblLook w:firstColumn="1" w:firstRow="1" w:lastColumn="0" w:lastRow="0" w:noHBand="0" w:noVBand="1" w:val="04A0"/>
      </w:tblPr>
      <w:tblGrid>
        <w:gridCol w:w="10080"/>
      </w:tblGrid>
      <w:tr>
        <w:tc>
          <w:tcPr>
            <w:tcW w:type="dxa" w:w="10080"/>
            <w:shd w:fill="0B1F33"/>
            <w:shd w:fill="0B1F33"/>
          </w:tcPr>
          <w:p>
            <w:pPr>
              <w:jc w:val="left"/>
            </w:pPr>
            <w:r/>
            <w:r>
              <w:rPr>
                <w:b/>
                <w:color w:val="FFFFFF"/>
                <w:sz w:val="18"/>
              </w:rPr>
              <w:t>YUVAINTERN  |  AUTOMOTIVE DATA ANALYSIS SPECIALIST</w:t>
            </w:r>
          </w:p>
        </w:tc>
      </w:tr>
    </w:tbl>
    <w:p>
      <w:pPr>
        <w:spacing w:before="560"/>
        <w:jc w:val="center"/>
      </w:pPr>
      <w:r>
        <w:rPr>
          <w:b/>
          <w:color w:val="167A9A"/>
          <w:sz w:val="30"/>
        </w:rPr>
        <w:t>WEEK 3</w:t>
      </w:r>
    </w:p>
    <w:p>
      <w:pPr>
        <w:jc w:val="center"/>
      </w:pPr>
      <w:r>
        <w:rPr>
          <w:b/>
          <w:color w:val="0B1F33"/>
          <w:sz w:val="58"/>
        </w:rPr>
        <w:t>AUTOMOTIVE</w:t>
      </w:r>
    </w:p>
    <w:p>
      <w:pPr>
        <w:jc w:val="center"/>
      </w:pPr>
      <w:r>
        <w:rPr>
          <w:b/>
          <w:color w:val="0B1F33"/>
          <w:sz w:val="62"/>
        </w:rPr>
        <w:t>DATA ANALYSIS</w:t>
      </w:r>
    </w:p>
    <w:p>
      <w:pPr>
        <w:jc w:val="center"/>
      </w:pPr>
      <w:r>
        <w:rPr>
          <w:b/>
          <w:color w:val="34495E"/>
          <w:sz w:val="28"/>
        </w:rPr>
        <w:t>EXPLORATORY DATA ANALYSIS</w:t>
        <w:br/>
        <w:t>&amp; DATA VISUALIZATION</w:t>
      </w:r>
    </w:p>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0B1F33"/>
          </w:tcPr>
          <w:p>
            <w:pPr>
              <w:jc w:val="left"/>
            </w:pPr>
            <w:r/>
            <w:r>
              <w:rPr>
                <w:b/>
                <w:color w:val="FFFFFF"/>
                <w:sz w:val="17"/>
              </w:rPr>
              <w:t>EDA</w:t>
            </w:r>
          </w:p>
        </w:tc>
        <w:tc>
          <w:tcPr>
            <w:tcW w:type="dxa" w:w="2520"/>
            <w:vAlign w:val="center"/>
            <w:shd w:fill="0B1F33"/>
          </w:tcPr>
          <w:p>
            <w:pPr>
              <w:jc w:val="left"/>
            </w:pPr>
            <w:r/>
            <w:r>
              <w:rPr>
                <w:b/>
                <w:color w:val="FFFFFF"/>
                <w:sz w:val="17"/>
              </w:rPr>
              <w:t>VISUALIZATION</w:t>
            </w:r>
          </w:p>
        </w:tc>
        <w:tc>
          <w:tcPr>
            <w:tcW w:type="dxa" w:w="2520"/>
            <w:vAlign w:val="center"/>
            <w:shd w:fill="0B1F33"/>
          </w:tcPr>
          <w:p>
            <w:pPr>
              <w:jc w:val="left"/>
            </w:pPr>
            <w:r/>
            <w:r>
              <w:rPr>
                <w:b/>
                <w:color w:val="FFFFFF"/>
                <w:sz w:val="17"/>
              </w:rPr>
              <w:t>CORRELATION</w:t>
            </w:r>
          </w:p>
        </w:tc>
        <w:tc>
          <w:tcPr>
            <w:tcW w:type="dxa" w:w="2520"/>
            <w:vAlign w:val="center"/>
            <w:shd w:fill="0B1F33"/>
          </w:tcPr>
          <w:p>
            <w:pPr>
              <w:jc w:val="left"/>
            </w:pPr>
            <w:r/>
            <w:r>
              <w:rPr>
                <w:b/>
                <w:color w:val="FFFFFF"/>
                <w:sz w:val="17"/>
              </w:rPr>
              <w:t>INSIGHTS</w:t>
            </w:r>
          </w:p>
        </w:tc>
      </w:tr>
      <w:tr>
        <w:tc>
          <w:tcPr>
            <w:tcW w:type="dxa" w:w="2520"/>
            <w:vAlign w:val="center"/>
          </w:tcPr>
          <w:p>
            <w:pPr>
              <w:jc w:val="left"/>
            </w:pPr>
            <w:r/>
            <w:r>
              <w:rPr>
                <w:b w:val="0"/>
                <w:sz w:val="17"/>
              </w:rPr>
              <w:t>01</w:t>
            </w:r>
          </w:p>
        </w:tc>
        <w:tc>
          <w:tcPr>
            <w:tcW w:type="dxa" w:w="2520"/>
            <w:vAlign w:val="center"/>
          </w:tcPr>
          <w:p>
            <w:pPr>
              <w:jc w:val="left"/>
            </w:pPr>
            <w:r/>
            <w:r>
              <w:rPr>
                <w:b w:val="0"/>
                <w:sz w:val="17"/>
              </w:rPr>
              <w:t>02</w:t>
            </w:r>
          </w:p>
        </w:tc>
        <w:tc>
          <w:tcPr>
            <w:tcW w:type="dxa" w:w="2520"/>
            <w:vAlign w:val="center"/>
          </w:tcPr>
          <w:p>
            <w:pPr>
              <w:jc w:val="left"/>
            </w:pPr>
            <w:r/>
            <w:r>
              <w:rPr>
                <w:b w:val="0"/>
                <w:sz w:val="17"/>
              </w:rPr>
              <w:t>03</w:t>
            </w:r>
          </w:p>
        </w:tc>
        <w:tc>
          <w:tcPr>
            <w:tcW w:type="dxa" w:w="2520"/>
            <w:vAlign w:val="center"/>
          </w:tcPr>
          <w:p>
            <w:pPr>
              <w:jc w:val="left"/>
            </w:pPr>
            <w:r/>
            <w:r>
              <w:rPr>
                <w:b w:val="0"/>
                <w:sz w:val="17"/>
              </w:rPr>
              <w:t>04</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3"/>
          </w:tcPr>
          <w:p>
            <w:pPr>
              <w:jc w:val="left"/>
            </w:pPr>
            <w:r/>
            <w:r>
              <w:rPr>
                <w:b/>
                <w:color w:val="FFFFFF"/>
                <w:sz w:val="17"/>
              </w:rPr>
              <w:t>PREPARED BY</w:t>
            </w:r>
          </w:p>
        </w:tc>
        <w:tc>
          <w:tcPr>
            <w:tcW w:type="dxa" w:w="5040"/>
            <w:vAlign w:val="center"/>
            <w:shd w:fill="0B1F33"/>
          </w:tcPr>
          <w:p>
            <w:pPr>
              <w:jc w:val="left"/>
            </w:pPr>
            <w:r/>
            <w:r>
              <w:rPr>
                <w:b/>
                <w:color w:val="FFFFFF"/>
                <w:sz w:val="17"/>
              </w:rPr>
              <w:t>REPORT TYPE</w:t>
            </w:r>
          </w:p>
        </w:tc>
      </w:tr>
      <w:tr>
        <w:tc>
          <w:tcPr>
            <w:tcW w:type="dxa" w:w="5040"/>
            <w:vAlign w:val="center"/>
          </w:tcPr>
          <w:p>
            <w:pPr>
              <w:jc w:val="left"/>
            </w:pPr>
            <w:r/>
            <w:r>
              <w:rPr>
                <w:b w:val="0"/>
                <w:sz w:val="17"/>
              </w:rPr>
              <w:t>SAMIKSHA GURME</w:t>
            </w:r>
          </w:p>
        </w:tc>
        <w:tc>
          <w:tcPr>
            <w:tcW w:type="dxa" w:w="5040"/>
            <w:vAlign w:val="center"/>
          </w:tcPr>
          <w:p>
            <w:pPr>
              <w:jc w:val="left"/>
            </w:pPr>
            <w:r/>
            <w:r>
              <w:rPr>
                <w:b w:val="0"/>
                <w:sz w:val="17"/>
              </w:rPr>
              <w:t>Professional EDA Report</w:t>
            </w:r>
          </w:p>
        </w:tc>
      </w:tr>
      <w:tr>
        <w:tc>
          <w:tcPr>
            <w:tcW w:type="dxa" w:w="5040"/>
            <w:vAlign w:val="center"/>
          </w:tcPr>
          <w:p>
            <w:pPr>
              <w:jc w:val="left"/>
            </w:pPr>
            <w:r/>
            <w:r>
              <w:rPr>
                <w:b w:val="0"/>
                <w:sz w:val="17"/>
              </w:rPr>
              <w:t>CORE TOOLS</w:t>
            </w:r>
          </w:p>
        </w:tc>
        <w:tc>
          <w:tcPr>
            <w:tcW w:type="dxa" w:w="5040"/>
            <w:vAlign w:val="center"/>
          </w:tcPr>
          <w:p>
            <w:pPr>
              <w:jc w:val="left"/>
            </w:pPr>
            <w:r/>
            <w:r>
              <w:rPr>
                <w:b w:val="0"/>
                <w:sz w:val="17"/>
              </w:rPr>
              <w:t>FOCUS</w:t>
            </w:r>
          </w:p>
        </w:tc>
      </w:tr>
      <w:tr>
        <w:tc>
          <w:tcPr>
            <w:tcW w:type="dxa" w:w="5040"/>
            <w:vAlign w:val="center"/>
          </w:tcPr>
          <w:p>
            <w:pPr>
              <w:jc w:val="left"/>
            </w:pPr>
            <w:r/>
            <w:r>
              <w:rPr>
                <w:b w:val="0"/>
                <w:sz w:val="17"/>
              </w:rPr>
              <w:t>Python • Pandas • NumPy • Matplotlib</w:t>
            </w:r>
          </w:p>
        </w:tc>
        <w:tc>
          <w:tcPr>
            <w:tcW w:type="dxa" w:w="5040"/>
            <w:vAlign w:val="center"/>
          </w:tcPr>
          <w:p>
            <w:pPr>
              <w:jc w:val="left"/>
            </w:pPr>
            <w:r/>
            <w:r>
              <w:rPr>
                <w:b w:val="0"/>
                <w:sz w:val="17"/>
              </w:rPr>
              <w:t>Performance • Trends • Relationships • Anomalies</w:t>
            </w:r>
          </w:p>
        </w:tc>
      </w:tr>
    </w:tbl>
    <w:p>
      <w:pPr>
        <w:spacing w:before="600"/>
        <w:jc w:val="center"/>
      </w:pPr>
      <w:r>
        <w:rPr>
          <w:b/>
          <w:color w:val="0B1F33"/>
          <w:sz w:val="24"/>
        </w:rPr>
        <w:t>FROM RAW DATA TO ACTIONABLE INSIGHTS</w:t>
      </w:r>
    </w:p>
    <w:p>
      <w:pPr>
        <w:jc w:val="center"/>
      </w:pPr>
      <w:r>
        <w:rPr>
          <w:color w:val="536779"/>
          <w:sz w:val="22"/>
        </w:rPr>
        <w:t>A structured Python workflow for understanding automotive performance data through statistics, visual storytelling and evidence-based interpretation.</w:t>
      </w:r>
    </w:p>
    <w:p>
      <w:pPr>
        <w:jc w:val="center"/>
      </w:pPr>
      <w:r>
        <w:rPr>
          <w:b/>
          <w:color w:val="FFFFFF"/>
          <w:sz w:val="16"/>
        </w:rPr>
        <w:t>AUTOMOTIVE PERFORMANCE  •  PYTHON ANALYTICS  •  WEEK 3  •  2026</w:t>
      </w:r>
    </w:p>
    <w:tbl>
      <w:tblPr>
        <w:tblW w:type="auto" w:w="0"/>
        <w:tblLook w:firstColumn="1" w:firstRow="1" w:lastColumn="0" w:lastRow="0" w:noHBand="0" w:noVBand="1" w:val="04A0"/>
      </w:tblPr>
      <w:tblGrid>
        <w:gridCol w:w="10080"/>
      </w:tblGrid>
      <w:tr>
        <w:tc>
          <w:tcPr>
            <w:tcW w:type="dxa" w:w="10080"/>
            <w:shd w:fill="0B1F33"/>
          </w:tcPr>
          <w:p/>
        </w:tc>
      </w:tr>
    </w:tbl>
    <w:p>
      <w:r>
        <w:br w:type="page"/>
      </w:r>
    </w:p>
    <w:p>
      <w:pPr>
        <w:spacing w:before="80" w:after="140"/>
      </w:pPr>
      <w:r>
        <w:rPr>
          <w:rFonts w:ascii="Aptos Display" w:hAnsi="Aptos Display"/>
          <w:b/>
          <w:color w:val="0B1F33"/>
          <w:sz w:val="32"/>
        </w:rPr>
        <w:t>Table of Contents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3"/>
          </w:tcPr>
          <w:p>
            <w:pPr>
              <w:jc w:val="left"/>
            </w:pPr>
            <w:r/>
            <w:r>
              <w:rPr>
                <w:b/>
                <w:color w:val="FFFFFF"/>
                <w:sz w:val="17"/>
              </w:rPr>
              <w:t>SECTION</w:t>
            </w:r>
          </w:p>
        </w:tc>
        <w:tc>
          <w:tcPr>
            <w:tcW w:type="dxa" w:w="3360"/>
            <w:vAlign w:val="center"/>
            <w:shd w:fill="0B1F33"/>
          </w:tcPr>
          <w:p>
            <w:pPr>
              <w:jc w:val="left"/>
            </w:pPr>
            <w:r/>
            <w:r>
              <w:rPr>
                <w:b/>
                <w:color w:val="FFFFFF"/>
                <w:sz w:val="17"/>
              </w:rPr>
              <w:t>CONTENT</w:t>
            </w:r>
          </w:p>
        </w:tc>
        <w:tc>
          <w:tcPr>
            <w:tcW w:type="dxa" w:w="3360"/>
            <w:vAlign w:val="center"/>
            <w:shd w:fill="0B1F33"/>
          </w:tcPr>
          <w:p>
            <w:pPr>
              <w:jc w:val="left"/>
            </w:pPr>
            <w:r/>
            <w:r>
              <w:rPr>
                <w:b/>
                <w:color w:val="FFFFFF"/>
                <w:sz w:val="17"/>
              </w:rPr>
              <w:t>PAGE</w:t>
            </w:r>
          </w:p>
        </w:tc>
      </w:tr>
      <w:tr>
        <w:tc>
          <w:tcPr>
            <w:tcW w:type="dxa" w:w="3360"/>
            <w:vAlign w:val="center"/>
          </w:tcPr>
          <w:p>
            <w:pPr>
              <w:jc w:val="left"/>
            </w:pPr>
            <w:r/>
            <w:r>
              <w:rPr>
                <w:b w:val="0"/>
                <w:sz w:val="17"/>
              </w:rPr>
              <w:t>01</w:t>
            </w:r>
          </w:p>
        </w:tc>
        <w:tc>
          <w:tcPr>
            <w:tcW w:type="dxa" w:w="3360"/>
            <w:vAlign w:val="center"/>
          </w:tcPr>
          <w:p>
            <w:pPr>
              <w:jc w:val="left"/>
            </w:pPr>
            <w:r/>
            <w:r>
              <w:rPr>
                <w:b w:val="0"/>
                <w:sz w:val="17"/>
              </w:rPr>
              <w:t>Executive Summary</w:t>
            </w:r>
          </w:p>
        </w:tc>
        <w:tc>
          <w:tcPr>
            <w:tcW w:type="dxa" w:w="3360"/>
            <w:vAlign w:val="center"/>
          </w:tcPr>
          <w:p>
            <w:pPr>
              <w:jc w:val="left"/>
            </w:pPr>
            <w:r/>
            <w:r>
              <w:rPr>
                <w:b w:val="0"/>
                <w:sz w:val="17"/>
              </w:rPr>
              <w:t>3</w:t>
            </w:r>
          </w:p>
        </w:tc>
      </w:tr>
      <w:tr>
        <w:tc>
          <w:tcPr>
            <w:tcW w:type="dxa" w:w="3360"/>
            <w:vAlign w:val="center"/>
          </w:tcPr>
          <w:p>
            <w:pPr>
              <w:jc w:val="left"/>
            </w:pPr>
            <w:r/>
            <w:r>
              <w:rPr>
                <w:b w:val="0"/>
                <w:sz w:val="17"/>
              </w:rPr>
              <w:t>02</w:t>
            </w:r>
          </w:p>
        </w:tc>
        <w:tc>
          <w:tcPr>
            <w:tcW w:type="dxa" w:w="3360"/>
            <w:vAlign w:val="center"/>
          </w:tcPr>
          <w:p>
            <w:pPr>
              <w:jc w:val="left"/>
            </w:pPr>
            <w:r/>
            <w:r>
              <w:rPr>
                <w:b w:val="0"/>
                <w:sz w:val="17"/>
              </w:rPr>
              <w:t>Introduction &amp; Objectives</w:t>
            </w:r>
          </w:p>
        </w:tc>
        <w:tc>
          <w:tcPr>
            <w:tcW w:type="dxa" w:w="3360"/>
            <w:vAlign w:val="center"/>
          </w:tcPr>
          <w:p>
            <w:pPr>
              <w:jc w:val="left"/>
            </w:pPr>
            <w:r/>
            <w:r>
              <w:rPr>
                <w:b w:val="0"/>
                <w:sz w:val="17"/>
              </w:rPr>
              <w:t>4</w:t>
            </w:r>
          </w:p>
        </w:tc>
      </w:tr>
      <w:tr>
        <w:tc>
          <w:tcPr>
            <w:tcW w:type="dxa" w:w="3360"/>
            <w:vAlign w:val="center"/>
          </w:tcPr>
          <w:p>
            <w:pPr>
              <w:jc w:val="left"/>
            </w:pPr>
            <w:r/>
            <w:r>
              <w:rPr>
                <w:b w:val="0"/>
                <w:sz w:val="17"/>
              </w:rPr>
              <w:t>03</w:t>
            </w:r>
          </w:p>
        </w:tc>
        <w:tc>
          <w:tcPr>
            <w:tcW w:type="dxa" w:w="3360"/>
            <w:vAlign w:val="center"/>
          </w:tcPr>
          <w:p>
            <w:pPr>
              <w:jc w:val="left"/>
            </w:pPr>
            <w:r/>
            <w:r>
              <w:rPr>
                <w:b w:val="0"/>
                <w:sz w:val="17"/>
              </w:rPr>
              <w:t>Dataset &amp; Methodology</w:t>
            </w:r>
          </w:p>
        </w:tc>
        <w:tc>
          <w:tcPr>
            <w:tcW w:type="dxa" w:w="3360"/>
            <w:vAlign w:val="center"/>
          </w:tcPr>
          <w:p>
            <w:pPr>
              <w:jc w:val="left"/>
            </w:pPr>
            <w:r/>
            <w:r>
              <w:rPr>
                <w:b w:val="0"/>
                <w:sz w:val="17"/>
              </w:rPr>
              <w:t>5</w:t>
            </w:r>
          </w:p>
        </w:tc>
      </w:tr>
      <w:tr>
        <w:tc>
          <w:tcPr>
            <w:tcW w:type="dxa" w:w="3360"/>
            <w:vAlign w:val="center"/>
          </w:tcPr>
          <w:p>
            <w:pPr>
              <w:jc w:val="left"/>
            </w:pPr>
            <w:r/>
            <w:r>
              <w:rPr>
                <w:b w:val="0"/>
                <w:sz w:val="17"/>
              </w:rPr>
              <w:t>04</w:t>
            </w:r>
          </w:p>
        </w:tc>
        <w:tc>
          <w:tcPr>
            <w:tcW w:type="dxa" w:w="3360"/>
            <w:vAlign w:val="center"/>
          </w:tcPr>
          <w:p>
            <w:pPr>
              <w:jc w:val="left"/>
            </w:pPr>
            <w:r/>
            <w:r>
              <w:rPr>
                <w:b w:val="0"/>
                <w:sz w:val="17"/>
              </w:rPr>
              <w:t>Data Preparation &amp; Descriptive Statistics</w:t>
            </w:r>
          </w:p>
        </w:tc>
        <w:tc>
          <w:tcPr>
            <w:tcW w:type="dxa" w:w="3360"/>
            <w:vAlign w:val="center"/>
          </w:tcPr>
          <w:p>
            <w:pPr>
              <w:jc w:val="left"/>
            </w:pPr>
            <w:r/>
            <w:r>
              <w:rPr>
                <w:b w:val="0"/>
                <w:sz w:val="17"/>
              </w:rPr>
              <w:t>6</w:t>
            </w:r>
          </w:p>
        </w:tc>
      </w:tr>
      <w:tr>
        <w:tc>
          <w:tcPr>
            <w:tcW w:type="dxa" w:w="3360"/>
            <w:vAlign w:val="center"/>
          </w:tcPr>
          <w:p>
            <w:pPr>
              <w:jc w:val="left"/>
            </w:pPr>
            <w:r/>
            <w:r>
              <w:rPr>
                <w:b w:val="0"/>
                <w:sz w:val="17"/>
              </w:rPr>
              <w:t>05</w:t>
            </w:r>
          </w:p>
        </w:tc>
        <w:tc>
          <w:tcPr>
            <w:tcW w:type="dxa" w:w="3360"/>
            <w:vAlign w:val="center"/>
          </w:tcPr>
          <w:p>
            <w:pPr>
              <w:jc w:val="left"/>
            </w:pPr>
            <w:r/>
            <w:r>
              <w:rPr>
                <w:b w:val="0"/>
                <w:sz w:val="17"/>
              </w:rPr>
              <w:t>Univariate EDA</w:t>
            </w:r>
          </w:p>
        </w:tc>
        <w:tc>
          <w:tcPr>
            <w:tcW w:type="dxa" w:w="3360"/>
            <w:vAlign w:val="center"/>
          </w:tcPr>
          <w:p>
            <w:pPr>
              <w:jc w:val="left"/>
            </w:pPr>
            <w:r/>
            <w:r>
              <w:rPr>
                <w:b w:val="0"/>
                <w:sz w:val="17"/>
              </w:rPr>
              <w:t>7</w:t>
            </w:r>
          </w:p>
        </w:tc>
      </w:tr>
      <w:tr>
        <w:tc>
          <w:tcPr>
            <w:tcW w:type="dxa" w:w="3360"/>
            <w:vAlign w:val="center"/>
          </w:tcPr>
          <w:p>
            <w:pPr>
              <w:jc w:val="left"/>
            </w:pPr>
            <w:r/>
            <w:r>
              <w:rPr>
                <w:b w:val="0"/>
                <w:sz w:val="17"/>
              </w:rPr>
              <w:t>06</w:t>
            </w:r>
          </w:p>
        </w:tc>
        <w:tc>
          <w:tcPr>
            <w:tcW w:type="dxa" w:w="3360"/>
            <w:vAlign w:val="center"/>
          </w:tcPr>
          <w:p>
            <w:pPr>
              <w:jc w:val="left"/>
            </w:pPr>
            <w:r/>
            <w:r>
              <w:rPr>
                <w:b w:val="0"/>
                <w:sz w:val="17"/>
              </w:rPr>
              <w:t>Comparative EDA</w:t>
            </w:r>
          </w:p>
        </w:tc>
        <w:tc>
          <w:tcPr>
            <w:tcW w:type="dxa" w:w="3360"/>
            <w:vAlign w:val="center"/>
          </w:tcPr>
          <w:p>
            <w:pPr>
              <w:jc w:val="left"/>
            </w:pPr>
            <w:r/>
            <w:r>
              <w:rPr>
                <w:b w:val="0"/>
                <w:sz w:val="17"/>
              </w:rPr>
              <w:t>8</w:t>
            </w:r>
          </w:p>
        </w:tc>
      </w:tr>
      <w:tr>
        <w:tc>
          <w:tcPr>
            <w:tcW w:type="dxa" w:w="3360"/>
            <w:vAlign w:val="center"/>
          </w:tcPr>
          <w:p>
            <w:pPr>
              <w:jc w:val="left"/>
            </w:pPr>
            <w:r/>
            <w:r>
              <w:rPr>
                <w:b w:val="0"/>
                <w:sz w:val="17"/>
              </w:rPr>
              <w:t>07</w:t>
            </w:r>
          </w:p>
        </w:tc>
        <w:tc>
          <w:tcPr>
            <w:tcW w:type="dxa" w:w="3360"/>
            <w:vAlign w:val="center"/>
          </w:tcPr>
          <w:p>
            <w:pPr>
              <w:jc w:val="left"/>
            </w:pPr>
            <w:r/>
            <w:r>
              <w:rPr>
                <w:b w:val="0"/>
                <w:sz w:val="17"/>
              </w:rPr>
              <w:t>Relationship &amp; Trend Analysis</w:t>
            </w:r>
          </w:p>
        </w:tc>
        <w:tc>
          <w:tcPr>
            <w:tcW w:type="dxa" w:w="3360"/>
            <w:vAlign w:val="center"/>
          </w:tcPr>
          <w:p>
            <w:pPr>
              <w:jc w:val="left"/>
            </w:pPr>
            <w:r/>
            <w:r>
              <w:rPr>
                <w:b w:val="0"/>
                <w:sz w:val="17"/>
              </w:rPr>
              <w:t>9</w:t>
            </w:r>
          </w:p>
        </w:tc>
      </w:tr>
      <w:tr>
        <w:tc>
          <w:tcPr>
            <w:tcW w:type="dxa" w:w="3360"/>
            <w:vAlign w:val="center"/>
          </w:tcPr>
          <w:p>
            <w:pPr>
              <w:jc w:val="left"/>
            </w:pPr>
            <w:r/>
            <w:r>
              <w:rPr>
                <w:b w:val="0"/>
                <w:sz w:val="17"/>
              </w:rPr>
              <w:t>08</w:t>
            </w:r>
          </w:p>
        </w:tc>
        <w:tc>
          <w:tcPr>
            <w:tcW w:type="dxa" w:w="3360"/>
            <w:vAlign w:val="center"/>
          </w:tcPr>
          <w:p>
            <w:pPr>
              <w:jc w:val="left"/>
            </w:pPr>
            <w:r/>
            <w:r>
              <w:rPr>
                <w:b w:val="0"/>
                <w:sz w:val="17"/>
              </w:rPr>
              <w:t>Correlation &amp; Anomaly Analysis</w:t>
            </w:r>
          </w:p>
        </w:tc>
        <w:tc>
          <w:tcPr>
            <w:tcW w:type="dxa" w:w="3360"/>
            <w:vAlign w:val="center"/>
          </w:tcPr>
          <w:p>
            <w:pPr>
              <w:jc w:val="left"/>
            </w:pPr>
            <w:r/>
            <w:r>
              <w:rPr>
                <w:b w:val="0"/>
                <w:sz w:val="17"/>
              </w:rPr>
              <w:t>10</w:t>
            </w:r>
          </w:p>
        </w:tc>
      </w:tr>
      <w:tr>
        <w:tc>
          <w:tcPr>
            <w:tcW w:type="dxa" w:w="3360"/>
            <w:vAlign w:val="center"/>
          </w:tcPr>
          <w:p>
            <w:pPr>
              <w:jc w:val="left"/>
            </w:pPr>
            <w:r/>
            <w:r>
              <w:rPr>
                <w:b w:val="0"/>
                <w:sz w:val="17"/>
              </w:rPr>
              <w:t>09</w:t>
            </w:r>
          </w:p>
        </w:tc>
        <w:tc>
          <w:tcPr>
            <w:tcW w:type="dxa" w:w="3360"/>
            <w:vAlign w:val="center"/>
          </w:tcPr>
          <w:p>
            <w:pPr>
              <w:jc w:val="left"/>
            </w:pPr>
            <w:r/>
            <w:r>
              <w:rPr>
                <w:b w:val="0"/>
                <w:sz w:val="17"/>
              </w:rPr>
              <w:t>Key Findings &amp; Actionable Insights</w:t>
            </w:r>
          </w:p>
        </w:tc>
        <w:tc>
          <w:tcPr>
            <w:tcW w:type="dxa" w:w="3360"/>
            <w:vAlign w:val="center"/>
          </w:tcPr>
          <w:p>
            <w:pPr>
              <w:jc w:val="left"/>
            </w:pPr>
            <w:r/>
            <w:r>
              <w:rPr>
                <w:b w:val="0"/>
                <w:sz w:val="17"/>
              </w:rPr>
              <w:t>11</w:t>
            </w:r>
          </w:p>
        </w:tc>
      </w:tr>
      <w:tr>
        <w:tc>
          <w:tcPr>
            <w:tcW w:type="dxa" w:w="3360"/>
            <w:vAlign w:val="center"/>
          </w:tcPr>
          <w:p>
            <w:pPr>
              <w:jc w:val="left"/>
            </w:pPr>
            <w:r/>
            <w:r>
              <w:rPr>
                <w:b w:val="0"/>
                <w:sz w:val="17"/>
              </w:rPr>
              <w:t>10</w:t>
            </w:r>
          </w:p>
        </w:tc>
        <w:tc>
          <w:tcPr>
            <w:tcW w:type="dxa" w:w="3360"/>
            <w:vAlign w:val="center"/>
          </w:tcPr>
          <w:p>
            <w:pPr>
              <w:jc w:val="left"/>
            </w:pPr>
            <w:r/>
            <w:r>
              <w:rPr>
                <w:b w:val="0"/>
                <w:sz w:val="17"/>
              </w:rPr>
              <w:t>Python Code, Conclusion &amp; References</w:t>
            </w:r>
          </w:p>
        </w:tc>
        <w:tc>
          <w:tcPr>
            <w:tcW w:type="dxa" w:w="3360"/>
            <w:vAlign w:val="center"/>
          </w:tcPr>
          <w:p>
            <w:pPr>
              <w:jc w:val="left"/>
            </w:pPr>
            <w:r/>
            <w:r>
              <w:rPr>
                <w:b w:val="0"/>
                <w:sz w:val="17"/>
              </w:rPr>
              <w:t>12</w:t>
            </w:r>
          </w:p>
        </w:tc>
      </w:tr>
    </w:tbl>
    <w:p>
      <w:pPr>
        <w:spacing w:after="100" w:line="259" w:lineRule="auto"/>
        <w:jc w:val="both"/>
      </w:pPr>
      <w:r>
        <w:rPr>
          <w:rFonts w:ascii="Aptos" w:hAnsi="Aptos"/>
          <w:color w:val="263746"/>
          <w:sz w:val="20"/>
        </w:rPr>
        <w:t>Report scope: This report covers the major Week 3 evaluation areas—EDA depth, relevant visualizations, interpretation, insight generation, organization and Python documentation.</w:t>
      </w:r>
    </w:p>
    <w:p>
      <w:r>
        <w:br w:type="page"/>
      </w:r>
    </w:p>
    <w:p>
      <w:pPr>
        <w:spacing w:before="80" w:after="140"/>
      </w:pPr>
      <w:r>
        <w:rPr>
          <w:rFonts w:ascii="Aptos Display" w:hAnsi="Aptos Display"/>
          <w:b/>
          <w:color w:val="0B1F33"/>
          <w:sz w:val="32"/>
        </w:rPr>
        <w:t>1. Executive Summary</w:t>
      </w:r>
    </w:p>
    <w:p>
      <w:pPr>
        <w:spacing w:after="100" w:line="259" w:lineRule="auto"/>
        <w:jc w:val="both"/>
      </w:pPr>
      <w:r>
        <w:rPr>
          <w:rFonts w:ascii="Aptos" w:hAnsi="Aptos"/>
          <w:color w:val="263746"/>
          <w:sz w:val="20"/>
        </w:rPr>
        <w:t>This report presents a structured exploratory data analysis workflow for automotive performance metrics using Python. The analysis focuses on fuel efficiency, engine characteristics, vehicle weight, acceleration, model year and origin.</w:t>
      </w:r>
    </w:p>
    <w:p>
      <w:pPr>
        <w:spacing w:after="100" w:line="259" w:lineRule="auto"/>
        <w:jc w:val="both"/>
      </w:pPr>
      <w:r>
        <w:rPr>
          <w:rFonts w:ascii="Aptos" w:hAnsi="Aptos"/>
          <w:color w:val="263746"/>
          <w:sz w:val="20"/>
        </w:rPr>
        <w:t>EDA is used to move from raw observations toward interpretable evidence. Descriptive statistics establish the shape and spread of the data, while charts reveal patterns that may not be visible from numerical summaries alone.</w:t>
      </w:r>
    </w:p>
    <w:p>
      <w:pPr>
        <w:spacing w:after="100" w:line="259" w:lineRule="auto"/>
        <w:jc w:val="both"/>
      </w:pPr>
      <w:r>
        <w:rPr>
          <w:rFonts w:ascii="Aptos" w:hAnsi="Aptos"/>
          <w:color w:val="263746"/>
          <w:sz w:val="20"/>
        </w:rPr>
        <w:t>The analysis identifies meaningful relationships between fuel efficiency and vehicle characteristics. In the representative dataset, heavier and higher-powered vehicles generally show lower MPG, while engine configuration provides a useful segmentation dimension.</w:t>
      </w:r>
    </w:p>
    <w:p>
      <w:pPr>
        <w:spacing w:before="80" w:after="140"/>
      </w:pPr>
      <w:r>
        <w:rPr>
          <w:rFonts w:ascii="Aptos Display" w:hAnsi="Aptos Display"/>
          <w:b/>
          <w:color w:val="167A9A"/>
          <w:sz w:val="24"/>
        </w:rPr>
        <w:t>Evaluation Coverage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3"/>
          </w:tcPr>
          <w:p>
            <w:pPr>
              <w:jc w:val="left"/>
            </w:pPr>
            <w:r/>
            <w:r>
              <w:rPr>
                <w:b/>
                <w:color w:val="FFFFFF"/>
                <w:sz w:val="17"/>
              </w:rPr>
              <w:t>Criterion</w:t>
            </w:r>
          </w:p>
        </w:tc>
        <w:tc>
          <w:tcPr>
            <w:tcW w:type="dxa" w:w="5040"/>
            <w:vAlign w:val="center"/>
            <w:shd w:fill="0B1F33"/>
          </w:tcPr>
          <w:p>
            <w:pPr>
              <w:jc w:val="left"/>
            </w:pPr>
            <w:r/>
            <w:r>
              <w:rPr>
                <w:b/>
                <w:color w:val="FFFFFF"/>
                <w:sz w:val="17"/>
              </w:rPr>
              <w:t>How this report addresses it</w:t>
            </w:r>
          </w:p>
        </w:tc>
      </w:tr>
      <w:tr>
        <w:tc>
          <w:tcPr>
            <w:tcW w:type="dxa" w:w="5040"/>
            <w:vAlign w:val="center"/>
          </w:tcPr>
          <w:p>
            <w:pPr>
              <w:jc w:val="left"/>
            </w:pPr>
            <w:r/>
            <w:r>
              <w:rPr>
                <w:b w:val="0"/>
                <w:sz w:val="17"/>
              </w:rPr>
              <w:t>EDA depth</w:t>
            </w:r>
          </w:p>
        </w:tc>
        <w:tc>
          <w:tcPr>
            <w:tcW w:type="dxa" w:w="5040"/>
            <w:vAlign w:val="center"/>
          </w:tcPr>
          <w:p>
            <w:pPr>
              <w:jc w:val="left"/>
            </w:pPr>
            <w:r/>
            <w:r>
              <w:rPr>
                <w:b w:val="0"/>
                <w:sz w:val="17"/>
              </w:rPr>
              <w:t>Statistics, distributions, comparisons, trends, correlation and anomaly review.</w:t>
            </w:r>
          </w:p>
        </w:tc>
      </w:tr>
      <w:tr>
        <w:tc>
          <w:tcPr>
            <w:tcW w:type="dxa" w:w="5040"/>
            <w:vAlign w:val="center"/>
          </w:tcPr>
          <w:p>
            <w:pPr>
              <w:jc w:val="left"/>
            </w:pPr>
            <w:r/>
            <w:r>
              <w:rPr>
                <w:b w:val="0"/>
                <w:sz w:val="17"/>
              </w:rPr>
              <w:t>Visualization quality</w:t>
            </w:r>
          </w:p>
        </w:tc>
        <w:tc>
          <w:tcPr>
            <w:tcW w:type="dxa" w:w="5040"/>
            <w:vAlign w:val="center"/>
          </w:tcPr>
          <w:p>
            <w:pPr>
              <w:jc w:val="left"/>
            </w:pPr>
            <w:r/>
            <w:r>
              <w:rPr>
                <w:b w:val="0"/>
                <w:sz w:val="17"/>
              </w:rPr>
              <w:t>Multiple chart types with titles, axes and interpretation.</w:t>
            </w:r>
          </w:p>
        </w:tc>
      </w:tr>
      <w:tr>
        <w:tc>
          <w:tcPr>
            <w:tcW w:type="dxa" w:w="5040"/>
            <w:vAlign w:val="center"/>
          </w:tcPr>
          <w:p>
            <w:pPr>
              <w:jc w:val="left"/>
            </w:pPr>
            <w:r/>
            <w:r>
              <w:rPr>
                <w:b w:val="0"/>
                <w:sz w:val="17"/>
              </w:rPr>
              <w:t>Insight clarity</w:t>
            </w:r>
          </w:p>
        </w:tc>
        <w:tc>
          <w:tcPr>
            <w:tcW w:type="dxa" w:w="5040"/>
            <w:vAlign w:val="center"/>
          </w:tcPr>
          <w:p>
            <w:pPr>
              <w:jc w:val="left"/>
            </w:pPr>
            <w:r/>
            <w:r>
              <w:rPr>
                <w:b w:val="0"/>
                <w:sz w:val="17"/>
              </w:rPr>
              <w:t>Findings translated into automotive-oriented implications.</w:t>
            </w:r>
          </w:p>
        </w:tc>
      </w:tr>
      <w:tr>
        <w:tc>
          <w:tcPr>
            <w:tcW w:type="dxa" w:w="5040"/>
            <w:vAlign w:val="center"/>
          </w:tcPr>
          <w:p>
            <w:pPr>
              <w:jc w:val="left"/>
            </w:pPr>
            <w:r/>
            <w:r>
              <w:rPr>
                <w:b w:val="0"/>
                <w:sz w:val="17"/>
              </w:rPr>
              <w:t>Code documentation</w:t>
            </w:r>
          </w:p>
        </w:tc>
        <w:tc>
          <w:tcPr>
            <w:tcW w:type="dxa" w:w="5040"/>
            <w:vAlign w:val="center"/>
          </w:tcPr>
          <w:p>
            <w:pPr>
              <w:jc w:val="left"/>
            </w:pPr>
            <w:r/>
            <w:r>
              <w:rPr>
                <w:b w:val="0"/>
                <w:sz w:val="17"/>
              </w:rPr>
              <w:t>Annotated Python workflow included in final section.</w:t>
            </w:r>
          </w:p>
        </w:tc>
      </w:tr>
      <w:tr>
        <w:tc>
          <w:tcPr>
            <w:tcW w:type="dxa" w:w="5040"/>
            <w:vAlign w:val="center"/>
          </w:tcPr>
          <w:p>
            <w:pPr>
              <w:jc w:val="left"/>
            </w:pPr>
            <w:r/>
            <w:r>
              <w:rPr>
                <w:b w:val="0"/>
                <w:sz w:val="17"/>
              </w:rPr>
              <w:t>Organization</w:t>
            </w:r>
          </w:p>
        </w:tc>
        <w:tc>
          <w:tcPr>
            <w:tcW w:type="dxa" w:w="5040"/>
            <w:vAlign w:val="center"/>
          </w:tcPr>
          <w:p>
            <w:pPr>
              <w:jc w:val="left"/>
            </w:pPr>
            <w:r/>
            <w:r>
              <w:rPr>
                <w:b w:val="0"/>
                <w:sz w:val="17"/>
              </w:rPr>
              <w:t>Professional 12-page structure with consistent formatting.</w:t>
            </w:r>
          </w:p>
        </w:tc>
      </w:tr>
    </w:tbl>
    <w:p>
      <w:r>
        <w:br w:type="page"/>
      </w:r>
    </w:p>
    <w:p>
      <w:pPr>
        <w:spacing w:before="80" w:after="140"/>
      </w:pPr>
      <w:r>
        <w:rPr>
          <w:rFonts w:ascii="Aptos Display" w:hAnsi="Aptos Display"/>
          <w:b/>
          <w:color w:val="0B1F33"/>
          <w:sz w:val="32"/>
        </w:rPr>
        <w:t>2. Introduction &amp; Objectives</w:t>
      </w:r>
    </w:p>
    <w:p>
      <w:pPr>
        <w:spacing w:after="100" w:line="259" w:lineRule="auto"/>
        <w:jc w:val="both"/>
      </w:pPr>
      <w:r>
        <w:rPr>
          <w:rFonts w:ascii="Aptos" w:hAnsi="Aptos"/>
          <w:color w:val="263746"/>
          <w:sz w:val="20"/>
        </w:rPr>
        <w:t>Automotive performance datasets combine physical, mechanical and categorical variables. Understanding these variables before modeling is essential because unusual values, skewed distributions and strong correlations can influence later statistical or machine-learning results.</w:t>
      </w:r>
    </w:p>
    <w:p>
      <w:pPr>
        <w:spacing w:before="80" w:after="140"/>
      </w:pPr>
      <w:r>
        <w:rPr>
          <w:rFonts w:ascii="Aptos Display" w:hAnsi="Aptos Display"/>
          <w:b/>
          <w:color w:val="167A9A"/>
          <w:sz w:val="24"/>
        </w:rPr>
        <w:t>Objectives</w:t>
      </w:r>
    </w:p>
    <w:p>
      <w:pPr>
        <w:pStyle w:val="ListBullet"/>
        <w:spacing w:after="60"/>
      </w:pPr>
      <w:r>
        <w:rPr>
          <w:rFonts w:ascii="Aptos" w:hAnsi="Aptos"/>
          <w:sz w:val="19"/>
        </w:rPr>
        <w:t>Understand distributions and variability of key automotive performance measures.</w:t>
      </w:r>
    </w:p>
    <w:p>
      <w:pPr>
        <w:pStyle w:val="ListBullet"/>
        <w:spacing w:after="60"/>
      </w:pPr>
      <w:r>
        <w:rPr>
          <w:rFonts w:ascii="Aptos" w:hAnsi="Aptos"/>
          <w:sz w:val="19"/>
        </w:rPr>
        <w:t>Compare fuel efficiency across cylinder configurations and vehicle origins.</w:t>
      </w:r>
    </w:p>
    <w:p>
      <w:pPr>
        <w:pStyle w:val="ListBullet"/>
        <w:spacing w:after="60"/>
      </w:pPr>
      <w:r>
        <w:rPr>
          <w:rFonts w:ascii="Aptos" w:hAnsi="Aptos"/>
          <w:sz w:val="19"/>
        </w:rPr>
        <w:t>Study relationships between MPG, horsepower, weight and displacement.</w:t>
      </w:r>
    </w:p>
    <w:p>
      <w:pPr>
        <w:pStyle w:val="ListBullet"/>
        <w:spacing w:after="60"/>
      </w:pPr>
      <w:r>
        <w:rPr>
          <w:rFonts w:ascii="Aptos" w:hAnsi="Aptos"/>
          <w:sz w:val="19"/>
        </w:rPr>
        <w:t>Investigate changes in average MPG over model years.</w:t>
      </w:r>
    </w:p>
    <w:p>
      <w:pPr>
        <w:pStyle w:val="ListBullet"/>
        <w:spacing w:after="60"/>
      </w:pPr>
      <w:r>
        <w:rPr>
          <w:rFonts w:ascii="Aptos" w:hAnsi="Aptos"/>
          <w:sz w:val="19"/>
        </w:rPr>
        <w:t>Identify possible outliers and observations requiring domain review.</w:t>
      </w:r>
    </w:p>
    <w:p>
      <w:pPr>
        <w:pStyle w:val="ListBullet"/>
        <w:spacing w:after="60"/>
      </w:pPr>
      <w:r>
        <w:rPr>
          <w:rFonts w:ascii="Aptos" w:hAnsi="Aptos"/>
          <w:sz w:val="19"/>
        </w:rPr>
        <w:t>Create clear, readable and relevant visualizations.</w:t>
      </w:r>
    </w:p>
    <w:p>
      <w:pPr>
        <w:pStyle w:val="ListBullet"/>
        <w:spacing w:after="60"/>
      </w:pPr>
      <w:r>
        <w:rPr>
          <w:rFonts w:ascii="Aptos" w:hAnsi="Aptos"/>
          <w:sz w:val="19"/>
        </w:rPr>
        <w:t>Convert visual patterns into actionable automotive insights.</w:t>
      </w:r>
    </w:p>
    <w:p>
      <w:pPr>
        <w:spacing w:before="80" w:after="140"/>
      </w:pPr>
      <w:r>
        <w:rPr>
          <w:rFonts w:ascii="Aptos Display" w:hAnsi="Aptos Display"/>
          <w:b/>
          <w:color w:val="167A9A"/>
          <w:sz w:val="24"/>
        </w:rPr>
        <w:t>Analytical Workflow</w:t>
      </w:r>
    </w:p>
    <w:p>
      <w:pPr>
        <w:spacing w:after="100" w:line="259" w:lineRule="auto"/>
        <w:jc w:val="both"/>
      </w:pPr>
      <w:r>
        <w:rPr>
          <w:rFonts w:ascii="Aptos" w:hAnsi="Aptos"/>
          <w:color w:val="263746"/>
          <w:sz w:val="20"/>
        </w:rPr>
        <w:t>Data acquisition → Inspection → Cleaning → Descriptive statistics → Univariate EDA → Comparative EDA → Relationship analysis → Correlation → Anomaly review → Insights → Documentation</w:t>
      </w:r>
    </w:p>
    <w:p>
      <w:pPr>
        <w:spacing w:after="100" w:line="259" w:lineRule="auto"/>
        <w:jc w:val="both"/>
      </w:pPr>
      <w:r>
        <w:rPr>
          <w:rFonts w:ascii="Aptos" w:hAnsi="Aptos"/>
          <w:color w:val="263746"/>
          <w:sz w:val="20"/>
        </w:rPr>
        <w:t>The workflow is modular so the same approach can be reused with a verified public automotive dataset.</w:t>
      </w:r>
    </w:p>
    <w:p>
      <w:r>
        <w:br w:type="page"/>
      </w:r>
    </w:p>
    <w:p>
      <w:pPr>
        <w:spacing w:before="80" w:after="140"/>
      </w:pPr>
      <w:r>
        <w:rPr>
          <w:rFonts w:ascii="Aptos Display" w:hAnsi="Aptos Display"/>
          <w:b/>
          <w:color w:val="0B1F33"/>
          <w:sz w:val="32"/>
        </w:rPr>
        <w:t>3. Dataset &amp; Methodology</w:t>
      </w:r>
    </w:p>
    <w:p>
      <w:pPr>
        <w:spacing w:after="100" w:line="259" w:lineRule="auto"/>
        <w:jc w:val="both"/>
      </w:pPr>
      <w:r>
        <w:rPr>
          <w:rFonts w:ascii="Aptos" w:hAnsi="Aptos"/>
          <w:color w:val="263746"/>
          <w:sz w:val="20"/>
        </w:rPr>
        <w:t>The current report uses a representative automotive performance dataset with 240 records. It mirrors common automotive benchmark variables so the complete EDA workflow can be demonstrated without presenting generated values as externally sourced facts.</w:t>
      </w:r>
    </w:p>
    <w:p>
      <w:pPr>
        <w:spacing w:before="80" w:after="140"/>
      </w:pPr>
      <w:r>
        <w:rPr>
          <w:rFonts w:ascii="Aptos Display" w:hAnsi="Aptos Display"/>
          <w:b/>
          <w:color w:val="167A9A"/>
          <w:sz w:val="24"/>
        </w:rPr>
        <w:t>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3"/>
          </w:tcPr>
          <w:p>
            <w:pPr>
              <w:jc w:val="left"/>
            </w:pPr>
            <w:r/>
            <w:r>
              <w:rPr>
                <w:b/>
                <w:color w:val="FFFFFF"/>
                <w:sz w:val="17"/>
              </w:rPr>
              <w:t>Variable</w:t>
            </w:r>
          </w:p>
        </w:tc>
        <w:tc>
          <w:tcPr>
            <w:tcW w:type="dxa" w:w="3360"/>
            <w:vAlign w:val="center"/>
            <w:shd w:fill="0B1F33"/>
          </w:tcPr>
          <w:p>
            <w:pPr>
              <w:jc w:val="left"/>
            </w:pPr>
            <w:r/>
            <w:r>
              <w:rPr>
                <w:b/>
                <w:color w:val="FFFFFF"/>
                <w:sz w:val="17"/>
              </w:rPr>
              <w:t>Type</w:t>
            </w:r>
          </w:p>
        </w:tc>
        <w:tc>
          <w:tcPr>
            <w:tcW w:type="dxa" w:w="3360"/>
            <w:vAlign w:val="center"/>
            <w:shd w:fill="0B1F33"/>
          </w:tcPr>
          <w:p>
            <w:pPr>
              <w:jc w:val="left"/>
            </w:pPr>
            <w:r/>
            <w:r>
              <w:rPr>
                <w:b/>
                <w:color w:val="FFFFFF"/>
                <w:sz w:val="17"/>
              </w:rPr>
              <w:t>Description</w:t>
            </w:r>
          </w:p>
        </w:tc>
      </w:tr>
      <w:tr>
        <w:tc>
          <w:tcPr>
            <w:tcW w:type="dxa" w:w="3360"/>
            <w:vAlign w:val="center"/>
          </w:tcPr>
          <w:p>
            <w:pPr>
              <w:jc w:val="left"/>
            </w:pPr>
            <w:r/>
            <w:r>
              <w:rPr>
                <w:b w:val="0"/>
                <w:sz w:val="17"/>
              </w:rPr>
              <w:t>mpg</w:t>
            </w:r>
          </w:p>
        </w:tc>
        <w:tc>
          <w:tcPr>
            <w:tcW w:type="dxa" w:w="3360"/>
            <w:vAlign w:val="center"/>
          </w:tcPr>
          <w:p>
            <w:pPr>
              <w:jc w:val="left"/>
            </w:pPr>
            <w:r/>
            <w:r>
              <w:rPr>
                <w:b w:val="0"/>
                <w:sz w:val="17"/>
              </w:rPr>
              <w:t>Numeric</w:t>
            </w:r>
          </w:p>
        </w:tc>
        <w:tc>
          <w:tcPr>
            <w:tcW w:type="dxa" w:w="3360"/>
            <w:vAlign w:val="center"/>
          </w:tcPr>
          <w:p>
            <w:pPr>
              <w:jc w:val="left"/>
            </w:pPr>
            <w:r/>
            <w:r>
              <w:rPr>
                <w:b w:val="0"/>
                <w:sz w:val="17"/>
              </w:rPr>
              <w:t>Fuel efficiency (miles per gallon)</w:t>
            </w:r>
          </w:p>
        </w:tc>
      </w:tr>
      <w:tr>
        <w:tc>
          <w:tcPr>
            <w:tcW w:type="dxa" w:w="3360"/>
            <w:vAlign w:val="center"/>
          </w:tcPr>
          <w:p>
            <w:pPr>
              <w:jc w:val="left"/>
            </w:pPr>
            <w:r/>
            <w:r>
              <w:rPr>
                <w:b w:val="0"/>
                <w:sz w:val="17"/>
              </w:rPr>
              <w:t>cylinders</w:t>
            </w:r>
          </w:p>
        </w:tc>
        <w:tc>
          <w:tcPr>
            <w:tcW w:type="dxa" w:w="3360"/>
            <w:vAlign w:val="center"/>
          </w:tcPr>
          <w:p>
            <w:pPr>
              <w:jc w:val="left"/>
            </w:pPr>
            <w:r/>
            <w:r>
              <w:rPr>
                <w:b w:val="0"/>
                <w:sz w:val="17"/>
              </w:rPr>
              <w:t>Integer</w:t>
            </w:r>
          </w:p>
        </w:tc>
        <w:tc>
          <w:tcPr>
            <w:tcW w:type="dxa" w:w="3360"/>
            <w:vAlign w:val="center"/>
          </w:tcPr>
          <w:p>
            <w:pPr>
              <w:jc w:val="left"/>
            </w:pPr>
            <w:r/>
            <w:r>
              <w:rPr>
                <w:b w:val="0"/>
                <w:sz w:val="17"/>
              </w:rPr>
              <w:t>Engine cylinder count</w:t>
            </w:r>
          </w:p>
        </w:tc>
      </w:tr>
      <w:tr>
        <w:tc>
          <w:tcPr>
            <w:tcW w:type="dxa" w:w="3360"/>
            <w:vAlign w:val="center"/>
          </w:tcPr>
          <w:p>
            <w:pPr>
              <w:jc w:val="left"/>
            </w:pPr>
            <w:r/>
            <w:r>
              <w:rPr>
                <w:b w:val="0"/>
                <w:sz w:val="17"/>
              </w:rPr>
              <w:t>displacement</w:t>
            </w:r>
          </w:p>
        </w:tc>
        <w:tc>
          <w:tcPr>
            <w:tcW w:type="dxa" w:w="3360"/>
            <w:vAlign w:val="center"/>
          </w:tcPr>
          <w:p>
            <w:pPr>
              <w:jc w:val="left"/>
            </w:pPr>
            <w:r/>
            <w:r>
              <w:rPr>
                <w:b w:val="0"/>
                <w:sz w:val="17"/>
              </w:rPr>
              <w:t>Numeric</w:t>
            </w:r>
          </w:p>
        </w:tc>
        <w:tc>
          <w:tcPr>
            <w:tcW w:type="dxa" w:w="3360"/>
            <w:vAlign w:val="center"/>
          </w:tcPr>
          <w:p>
            <w:pPr>
              <w:jc w:val="left"/>
            </w:pPr>
            <w:r/>
            <w:r>
              <w:rPr>
                <w:b w:val="0"/>
                <w:sz w:val="17"/>
              </w:rPr>
              <w:t>Engine displacement</w:t>
            </w:r>
          </w:p>
        </w:tc>
      </w:tr>
      <w:tr>
        <w:tc>
          <w:tcPr>
            <w:tcW w:type="dxa" w:w="3360"/>
            <w:vAlign w:val="center"/>
          </w:tcPr>
          <w:p>
            <w:pPr>
              <w:jc w:val="left"/>
            </w:pPr>
            <w:r/>
            <w:r>
              <w:rPr>
                <w:b w:val="0"/>
                <w:sz w:val="17"/>
              </w:rPr>
              <w:t>horsepower</w:t>
            </w:r>
          </w:p>
        </w:tc>
        <w:tc>
          <w:tcPr>
            <w:tcW w:type="dxa" w:w="3360"/>
            <w:vAlign w:val="center"/>
          </w:tcPr>
          <w:p>
            <w:pPr>
              <w:jc w:val="left"/>
            </w:pPr>
            <w:r/>
            <w:r>
              <w:rPr>
                <w:b w:val="0"/>
                <w:sz w:val="17"/>
              </w:rPr>
              <w:t>Numeric</w:t>
            </w:r>
          </w:p>
        </w:tc>
        <w:tc>
          <w:tcPr>
            <w:tcW w:type="dxa" w:w="3360"/>
            <w:vAlign w:val="center"/>
          </w:tcPr>
          <w:p>
            <w:pPr>
              <w:jc w:val="left"/>
            </w:pPr>
            <w:r/>
            <w:r>
              <w:rPr>
                <w:b w:val="0"/>
                <w:sz w:val="17"/>
              </w:rPr>
              <w:t>Engine power output</w:t>
            </w:r>
          </w:p>
        </w:tc>
      </w:tr>
      <w:tr>
        <w:tc>
          <w:tcPr>
            <w:tcW w:type="dxa" w:w="3360"/>
            <w:vAlign w:val="center"/>
          </w:tcPr>
          <w:p>
            <w:pPr>
              <w:jc w:val="left"/>
            </w:pPr>
            <w:r/>
            <w:r>
              <w:rPr>
                <w:b w:val="0"/>
                <w:sz w:val="17"/>
              </w:rPr>
              <w:t>weight</w:t>
            </w:r>
          </w:p>
        </w:tc>
        <w:tc>
          <w:tcPr>
            <w:tcW w:type="dxa" w:w="3360"/>
            <w:vAlign w:val="center"/>
          </w:tcPr>
          <w:p>
            <w:pPr>
              <w:jc w:val="left"/>
            </w:pPr>
            <w:r/>
            <w:r>
              <w:rPr>
                <w:b w:val="0"/>
                <w:sz w:val="17"/>
              </w:rPr>
              <w:t>Numeric</w:t>
            </w:r>
          </w:p>
        </w:tc>
        <w:tc>
          <w:tcPr>
            <w:tcW w:type="dxa" w:w="3360"/>
            <w:vAlign w:val="center"/>
          </w:tcPr>
          <w:p>
            <w:pPr>
              <w:jc w:val="left"/>
            </w:pPr>
            <w:r/>
            <w:r>
              <w:rPr>
                <w:b w:val="0"/>
                <w:sz w:val="17"/>
              </w:rPr>
              <w:t>Vehicle weight</w:t>
            </w:r>
          </w:p>
        </w:tc>
      </w:tr>
      <w:tr>
        <w:tc>
          <w:tcPr>
            <w:tcW w:type="dxa" w:w="3360"/>
            <w:vAlign w:val="center"/>
          </w:tcPr>
          <w:p>
            <w:pPr>
              <w:jc w:val="left"/>
            </w:pPr>
            <w:r/>
            <w:r>
              <w:rPr>
                <w:b w:val="0"/>
                <w:sz w:val="17"/>
              </w:rPr>
              <w:t>acceleration</w:t>
            </w:r>
          </w:p>
        </w:tc>
        <w:tc>
          <w:tcPr>
            <w:tcW w:type="dxa" w:w="3360"/>
            <w:vAlign w:val="center"/>
          </w:tcPr>
          <w:p>
            <w:pPr>
              <w:jc w:val="left"/>
            </w:pPr>
            <w:r/>
            <w:r>
              <w:rPr>
                <w:b w:val="0"/>
                <w:sz w:val="17"/>
              </w:rPr>
              <w:t>Numeric</w:t>
            </w:r>
          </w:p>
        </w:tc>
        <w:tc>
          <w:tcPr>
            <w:tcW w:type="dxa" w:w="3360"/>
            <w:vAlign w:val="center"/>
          </w:tcPr>
          <w:p>
            <w:pPr>
              <w:jc w:val="left"/>
            </w:pPr>
            <w:r/>
            <w:r>
              <w:rPr>
                <w:b w:val="0"/>
                <w:sz w:val="17"/>
              </w:rPr>
              <w:t>Acceleration measure</w:t>
            </w:r>
          </w:p>
        </w:tc>
      </w:tr>
      <w:tr>
        <w:tc>
          <w:tcPr>
            <w:tcW w:type="dxa" w:w="3360"/>
            <w:vAlign w:val="center"/>
          </w:tcPr>
          <w:p>
            <w:pPr>
              <w:jc w:val="left"/>
            </w:pPr>
            <w:r/>
            <w:r>
              <w:rPr>
                <w:b w:val="0"/>
                <w:sz w:val="17"/>
              </w:rPr>
              <w:t>model_year</w:t>
            </w:r>
          </w:p>
        </w:tc>
        <w:tc>
          <w:tcPr>
            <w:tcW w:type="dxa" w:w="3360"/>
            <w:vAlign w:val="center"/>
          </w:tcPr>
          <w:p>
            <w:pPr>
              <w:jc w:val="left"/>
            </w:pPr>
            <w:r/>
            <w:r>
              <w:rPr>
                <w:b w:val="0"/>
                <w:sz w:val="17"/>
              </w:rPr>
              <w:t>Integer</w:t>
            </w:r>
          </w:p>
        </w:tc>
        <w:tc>
          <w:tcPr>
            <w:tcW w:type="dxa" w:w="3360"/>
            <w:vAlign w:val="center"/>
          </w:tcPr>
          <w:p>
            <w:pPr>
              <w:jc w:val="left"/>
            </w:pPr>
            <w:r/>
            <w:r>
              <w:rPr>
                <w:b w:val="0"/>
                <w:sz w:val="17"/>
              </w:rPr>
              <w:t>Vehicle model year</w:t>
            </w:r>
          </w:p>
        </w:tc>
      </w:tr>
      <w:tr>
        <w:tc>
          <w:tcPr>
            <w:tcW w:type="dxa" w:w="3360"/>
            <w:vAlign w:val="center"/>
          </w:tcPr>
          <w:p>
            <w:pPr>
              <w:jc w:val="left"/>
            </w:pPr>
            <w:r/>
            <w:r>
              <w:rPr>
                <w:b w:val="0"/>
                <w:sz w:val="17"/>
              </w:rPr>
              <w:t>origin</w:t>
            </w:r>
          </w:p>
        </w:tc>
        <w:tc>
          <w:tcPr>
            <w:tcW w:type="dxa" w:w="3360"/>
            <w:vAlign w:val="center"/>
          </w:tcPr>
          <w:p>
            <w:pPr>
              <w:jc w:val="left"/>
            </w:pPr>
            <w:r/>
            <w:r>
              <w:rPr>
                <w:b w:val="0"/>
                <w:sz w:val="17"/>
              </w:rPr>
              <w:t>Categorical</w:t>
            </w:r>
          </w:p>
        </w:tc>
        <w:tc>
          <w:tcPr>
            <w:tcW w:type="dxa" w:w="3360"/>
            <w:vAlign w:val="center"/>
          </w:tcPr>
          <w:p>
            <w:pPr>
              <w:jc w:val="left"/>
            </w:pPr>
            <w:r/>
            <w:r>
              <w:rPr>
                <w:b w:val="0"/>
                <w:sz w:val="17"/>
              </w:rPr>
              <w:t>Vehicle origin group</w:t>
            </w:r>
          </w:p>
        </w:tc>
      </w:tr>
    </w:tbl>
    <w:p>
      <w:pPr>
        <w:spacing w:before="80" w:after="140"/>
      </w:pPr>
      <w:r>
        <w:rPr>
          <w:rFonts w:ascii="Aptos Display" w:hAnsi="Aptos Display"/>
          <w:b/>
          <w:color w:val="167A9A"/>
          <w:sz w:val="24"/>
        </w:rPr>
        <w:t>Recommended Public Source for Final Submission</w:t>
      </w:r>
    </w:p>
    <w:p>
      <w:pPr>
        <w:spacing w:after="100" w:line="259" w:lineRule="auto"/>
        <w:jc w:val="both"/>
      </w:pPr>
      <w:r>
        <w:rPr>
          <w:rFonts w:ascii="Aptos" w:hAnsi="Aptos"/>
          <w:color w:val="263746"/>
          <w:sz w:val="20"/>
        </w:rPr>
        <w:t>A verified public benchmark such as the UCI Auto MPG dataset can support a similar analysis because it contains core vehicle-performance variables including MPG, cylinders, displacement, horsepower, weight, acceleration, model year and origin. If used for final submission, all statistics, figures and conclusions should be regenerated from that source.</w:t>
      </w:r>
    </w:p>
    <w:p>
      <w:pPr>
        <w:spacing w:before="80" w:after="140"/>
      </w:pPr>
      <w:r>
        <w:rPr>
          <w:rFonts w:ascii="Aptos Display" w:hAnsi="Aptos Display"/>
          <w:b/>
          <w:color w:val="167A9A"/>
          <w:sz w:val="24"/>
        </w:rPr>
        <w:t>Why this structure?</w:t>
      </w:r>
    </w:p>
    <w:p>
      <w:pPr>
        <w:spacing w:after="100" w:line="259" w:lineRule="auto"/>
        <w:jc w:val="both"/>
      </w:pPr>
      <w:r>
        <w:rPr>
          <w:rFonts w:ascii="Aptos" w:hAnsi="Aptos"/>
          <w:color w:val="263746"/>
          <w:sz w:val="20"/>
        </w:rPr>
        <w:t>The selected variables support both univariate questions and multivariate questions. This creates a strong basis for visualization and later predictive modeling.</w:t>
      </w:r>
    </w:p>
    <w:p>
      <w:r>
        <w:br w:type="page"/>
      </w:r>
    </w:p>
    <w:p>
      <w:pPr>
        <w:spacing w:before="80" w:after="140"/>
      </w:pPr>
      <w:r>
        <w:rPr>
          <w:rFonts w:ascii="Aptos Display" w:hAnsi="Aptos Display"/>
          <w:b/>
          <w:color w:val="0B1F33"/>
          <w:sz w:val="32"/>
        </w:rPr>
        <w:t>4. Data Preparation &amp; Descriptive Statistics</w:t>
      </w:r>
    </w:p>
    <w:p>
      <w:pPr>
        <w:spacing w:after="100" w:line="259" w:lineRule="auto"/>
        <w:jc w:val="both"/>
      </w:pPr>
      <w:r>
        <w:rPr>
          <w:rFonts w:ascii="Aptos" w:hAnsi="Aptos"/>
          <w:color w:val="263746"/>
          <w:sz w:val="20"/>
        </w:rPr>
        <w:t>Before interpreting patterns, the dataset should be checked for structural and quality issues. Cleaning decisions must be documented because they can change EDA results.</w:t>
      </w:r>
    </w:p>
    <w:p>
      <w:pPr>
        <w:spacing w:before="80" w:after="140"/>
      </w:pPr>
      <w:r>
        <w:rPr>
          <w:rFonts w:ascii="Aptos Display" w:hAnsi="Aptos Display"/>
          <w:b/>
          <w:color w:val="167A9A"/>
          <w:sz w:val="24"/>
        </w:rPr>
        <w:t>Preparation Checklist</w:t>
      </w:r>
    </w:p>
    <w:p>
      <w:pPr>
        <w:pStyle w:val="ListBullet"/>
        <w:spacing w:after="60"/>
      </w:pPr>
      <w:r>
        <w:rPr>
          <w:rFonts w:ascii="Aptos" w:hAnsi="Aptos"/>
          <w:sz w:val="19"/>
        </w:rPr>
        <w:t>Inspect rows, columns and data types.</w:t>
      </w:r>
    </w:p>
    <w:p>
      <w:pPr>
        <w:pStyle w:val="ListBullet"/>
        <w:spacing w:after="60"/>
      </w:pPr>
      <w:r>
        <w:rPr>
          <w:rFonts w:ascii="Aptos" w:hAnsi="Aptos"/>
          <w:sz w:val="19"/>
        </w:rPr>
        <w:t>Check missing values and document treatment.</w:t>
      </w:r>
    </w:p>
    <w:p>
      <w:pPr>
        <w:pStyle w:val="ListBullet"/>
        <w:spacing w:after="60"/>
      </w:pPr>
      <w:r>
        <w:rPr>
          <w:rFonts w:ascii="Aptos" w:hAnsi="Aptos"/>
          <w:sz w:val="19"/>
        </w:rPr>
        <w:t>Check duplicate rows and remove only genuine duplicates.</w:t>
      </w:r>
    </w:p>
    <w:p>
      <w:pPr>
        <w:pStyle w:val="ListBullet"/>
        <w:spacing w:after="60"/>
      </w:pPr>
      <w:r>
        <w:rPr>
          <w:rFonts w:ascii="Aptos" w:hAnsi="Aptos"/>
          <w:sz w:val="19"/>
        </w:rPr>
        <w:t>Validate numeric ranges and identify impossible values.</w:t>
      </w:r>
    </w:p>
    <w:p>
      <w:pPr>
        <w:pStyle w:val="ListBullet"/>
        <w:spacing w:after="60"/>
      </w:pPr>
      <w:r>
        <w:rPr>
          <w:rFonts w:ascii="Aptos" w:hAnsi="Aptos"/>
          <w:sz w:val="19"/>
        </w:rPr>
        <w:t>Review extreme observations before applying outlier treatment.</w:t>
      </w:r>
    </w:p>
    <w:p>
      <w:pPr>
        <w:pStyle w:val="ListBullet"/>
        <w:spacing w:after="60"/>
      </w:pPr>
      <w:r>
        <w:rPr>
          <w:rFonts w:ascii="Aptos" w:hAnsi="Aptos"/>
          <w:sz w:val="19"/>
        </w:rPr>
        <w:t>Recalculate summary statistics after cleaning.</w:t>
      </w:r>
    </w:p>
    <w:p>
      <w:pPr>
        <w:spacing w:before="80" w:after="140"/>
      </w:pPr>
      <w:r>
        <w:rPr>
          <w:rFonts w:ascii="Aptos Display" w:hAnsi="Aptos Display"/>
          <w:b/>
          <w:color w:val="167A9A"/>
          <w:sz w:val="24"/>
        </w:rPr>
        <w:t>Descriptive Statistics</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0B1F33"/>
          </w:tcPr>
          <w:p>
            <w:pPr>
              <w:jc w:val="left"/>
            </w:pPr>
            <w:r/>
            <w:r>
              <w:rPr>
                <w:b/>
                <w:color w:val="FFFFFF"/>
                <w:sz w:val="17"/>
              </w:rPr>
              <w:t>Metric</w:t>
            </w:r>
          </w:p>
        </w:tc>
        <w:tc>
          <w:tcPr>
            <w:tcW w:type="dxa" w:w="1120"/>
            <w:vAlign w:val="center"/>
            <w:shd w:fill="0B1F33"/>
          </w:tcPr>
          <w:p>
            <w:pPr>
              <w:jc w:val="left"/>
            </w:pPr>
            <w:r/>
            <w:r>
              <w:rPr>
                <w:b/>
                <w:color w:val="FFFFFF"/>
                <w:sz w:val="17"/>
              </w:rPr>
              <w:t>count</w:t>
            </w:r>
          </w:p>
        </w:tc>
        <w:tc>
          <w:tcPr>
            <w:tcW w:type="dxa" w:w="1120"/>
            <w:vAlign w:val="center"/>
            <w:shd w:fill="0B1F33"/>
          </w:tcPr>
          <w:p>
            <w:pPr>
              <w:jc w:val="left"/>
            </w:pPr>
            <w:r/>
            <w:r>
              <w:rPr>
                <w:b/>
                <w:color w:val="FFFFFF"/>
                <w:sz w:val="17"/>
              </w:rPr>
              <w:t>mean</w:t>
            </w:r>
          </w:p>
        </w:tc>
        <w:tc>
          <w:tcPr>
            <w:tcW w:type="dxa" w:w="1120"/>
            <w:vAlign w:val="center"/>
            <w:shd w:fill="0B1F33"/>
          </w:tcPr>
          <w:p>
            <w:pPr>
              <w:jc w:val="left"/>
            </w:pPr>
            <w:r/>
            <w:r>
              <w:rPr>
                <w:b/>
                <w:color w:val="FFFFFF"/>
                <w:sz w:val="17"/>
              </w:rPr>
              <w:t>std</w:t>
            </w:r>
          </w:p>
        </w:tc>
        <w:tc>
          <w:tcPr>
            <w:tcW w:type="dxa" w:w="1120"/>
            <w:vAlign w:val="center"/>
            <w:shd w:fill="0B1F33"/>
          </w:tcPr>
          <w:p>
            <w:pPr>
              <w:jc w:val="left"/>
            </w:pPr>
            <w:r/>
            <w:r>
              <w:rPr>
                <w:b/>
                <w:color w:val="FFFFFF"/>
                <w:sz w:val="17"/>
              </w:rPr>
              <w:t>min</w:t>
            </w:r>
          </w:p>
        </w:tc>
        <w:tc>
          <w:tcPr>
            <w:tcW w:type="dxa" w:w="1120"/>
            <w:vAlign w:val="center"/>
            <w:shd w:fill="0B1F33"/>
          </w:tcPr>
          <w:p>
            <w:pPr>
              <w:jc w:val="left"/>
            </w:pPr>
            <w:r/>
            <w:r>
              <w:rPr>
                <w:b/>
                <w:color w:val="FFFFFF"/>
                <w:sz w:val="17"/>
              </w:rPr>
              <w:t>25%</w:t>
            </w:r>
          </w:p>
        </w:tc>
        <w:tc>
          <w:tcPr>
            <w:tcW w:type="dxa" w:w="1120"/>
            <w:vAlign w:val="center"/>
            <w:shd w:fill="0B1F33"/>
          </w:tcPr>
          <w:p>
            <w:pPr>
              <w:jc w:val="left"/>
            </w:pPr>
            <w:r/>
            <w:r>
              <w:rPr>
                <w:b/>
                <w:color w:val="FFFFFF"/>
                <w:sz w:val="17"/>
              </w:rPr>
              <w:t>50%</w:t>
            </w:r>
          </w:p>
        </w:tc>
        <w:tc>
          <w:tcPr>
            <w:tcW w:type="dxa" w:w="1120"/>
            <w:vAlign w:val="center"/>
            <w:shd w:fill="0B1F33"/>
          </w:tcPr>
          <w:p>
            <w:pPr>
              <w:jc w:val="left"/>
            </w:pPr>
            <w:r/>
            <w:r>
              <w:rPr>
                <w:b/>
                <w:color w:val="FFFFFF"/>
                <w:sz w:val="17"/>
              </w:rPr>
              <w:t>75%</w:t>
            </w:r>
          </w:p>
        </w:tc>
        <w:tc>
          <w:tcPr>
            <w:tcW w:type="dxa" w:w="1120"/>
            <w:vAlign w:val="center"/>
            <w:shd w:fill="0B1F33"/>
          </w:tcPr>
          <w:p>
            <w:pPr>
              <w:jc w:val="left"/>
            </w:pPr>
            <w:r/>
            <w:r>
              <w:rPr>
                <w:b/>
                <w:color w:val="FFFFFF"/>
                <w:sz w:val="17"/>
              </w:rPr>
              <w:t>max</w:t>
            </w:r>
          </w:p>
        </w:tc>
      </w:tr>
      <w:tr>
        <w:tc>
          <w:tcPr>
            <w:tcW w:type="dxa" w:w="1120"/>
            <w:vAlign w:val="center"/>
          </w:tcPr>
          <w:p>
            <w:pPr>
              <w:jc w:val="left"/>
            </w:pPr>
            <w:r/>
            <w:r>
              <w:rPr>
                <w:b w:val="0"/>
                <w:sz w:val="17"/>
              </w:rPr>
              <w:t>mpg</w:t>
            </w:r>
          </w:p>
        </w:tc>
        <w:tc>
          <w:tcPr>
            <w:tcW w:type="dxa" w:w="1120"/>
            <w:vAlign w:val="center"/>
          </w:tcPr>
          <w:p>
            <w:pPr>
              <w:jc w:val="left"/>
            </w:pPr>
            <w:r/>
            <w:r>
              <w:rPr>
                <w:b w:val="0"/>
                <w:sz w:val="17"/>
              </w:rPr>
              <w:t>240.0</w:t>
            </w:r>
          </w:p>
        </w:tc>
        <w:tc>
          <w:tcPr>
            <w:tcW w:type="dxa" w:w="1120"/>
            <w:vAlign w:val="center"/>
          </w:tcPr>
          <w:p>
            <w:pPr>
              <w:jc w:val="left"/>
            </w:pPr>
            <w:r/>
            <w:r>
              <w:rPr>
                <w:b w:val="0"/>
                <w:sz w:val="17"/>
              </w:rPr>
              <w:t>22.99</w:t>
            </w:r>
          </w:p>
        </w:tc>
        <w:tc>
          <w:tcPr>
            <w:tcW w:type="dxa" w:w="1120"/>
            <w:vAlign w:val="center"/>
          </w:tcPr>
          <w:p>
            <w:pPr>
              <w:jc w:val="left"/>
            </w:pPr>
            <w:r/>
            <w:r>
              <w:rPr>
                <w:b w:val="0"/>
                <w:sz w:val="17"/>
              </w:rPr>
              <w:t>5.38</w:t>
            </w:r>
          </w:p>
        </w:tc>
        <w:tc>
          <w:tcPr>
            <w:tcW w:type="dxa" w:w="1120"/>
            <w:vAlign w:val="center"/>
          </w:tcPr>
          <w:p>
            <w:pPr>
              <w:jc w:val="left"/>
            </w:pPr>
            <w:r/>
            <w:r>
              <w:rPr>
                <w:b w:val="0"/>
                <w:sz w:val="17"/>
              </w:rPr>
              <w:t>12.0</w:t>
            </w:r>
          </w:p>
        </w:tc>
        <w:tc>
          <w:tcPr>
            <w:tcW w:type="dxa" w:w="1120"/>
            <w:vAlign w:val="center"/>
          </w:tcPr>
          <w:p>
            <w:pPr>
              <w:jc w:val="left"/>
            </w:pPr>
            <w:r/>
            <w:r>
              <w:rPr>
                <w:b w:val="0"/>
                <w:sz w:val="17"/>
              </w:rPr>
              <w:t>18.9</w:t>
            </w:r>
          </w:p>
        </w:tc>
        <w:tc>
          <w:tcPr>
            <w:tcW w:type="dxa" w:w="1120"/>
            <w:vAlign w:val="center"/>
          </w:tcPr>
          <w:p>
            <w:pPr>
              <w:jc w:val="left"/>
            </w:pPr>
            <w:r/>
            <w:r>
              <w:rPr>
                <w:b w:val="0"/>
                <w:sz w:val="17"/>
              </w:rPr>
              <w:t>23.0</w:t>
            </w:r>
          </w:p>
        </w:tc>
        <w:tc>
          <w:tcPr>
            <w:tcW w:type="dxa" w:w="1120"/>
            <w:vAlign w:val="center"/>
          </w:tcPr>
          <w:p>
            <w:pPr>
              <w:jc w:val="left"/>
            </w:pPr>
            <w:r/>
            <w:r>
              <w:rPr>
                <w:b w:val="0"/>
                <w:sz w:val="17"/>
              </w:rPr>
              <w:t>26.8</w:t>
            </w:r>
          </w:p>
        </w:tc>
        <w:tc>
          <w:tcPr>
            <w:tcW w:type="dxa" w:w="1120"/>
            <w:vAlign w:val="center"/>
          </w:tcPr>
          <w:p>
            <w:pPr>
              <w:jc w:val="left"/>
            </w:pPr>
            <w:r/>
            <w:r>
              <w:rPr>
                <w:b w:val="0"/>
                <w:sz w:val="17"/>
              </w:rPr>
              <w:t>35.7</w:t>
            </w:r>
          </w:p>
        </w:tc>
      </w:tr>
      <w:tr>
        <w:tc>
          <w:tcPr>
            <w:tcW w:type="dxa" w:w="1120"/>
            <w:vAlign w:val="center"/>
          </w:tcPr>
          <w:p>
            <w:pPr>
              <w:jc w:val="left"/>
            </w:pPr>
            <w:r/>
            <w:r>
              <w:rPr>
                <w:b w:val="0"/>
                <w:sz w:val="17"/>
              </w:rPr>
              <w:t>cylinders</w:t>
            </w:r>
          </w:p>
        </w:tc>
        <w:tc>
          <w:tcPr>
            <w:tcW w:type="dxa" w:w="1120"/>
            <w:vAlign w:val="center"/>
          </w:tcPr>
          <w:p>
            <w:pPr>
              <w:jc w:val="left"/>
            </w:pPr>
            <w:r/>
            <w:r>
              <w:rPr>
                <w:b w:val="0"/>
                <w:sz w:val="17"/>
              </w:rPr>
              <w:t>240.0</w:t>
            </w:r>
          </w:p>
        </w:tc>
        <w:tc>
          <w:tcPr>
            <w:tcW w:type="dxa" w:w="1120"/>
            <w:vAlign w:val="center"/>
          </w:tcPr>
          <w:p>
            <w:pPr>
              <w:jc w:val="left"/>
            </w:pPr>
            <w:r/>
            <w:r>
              <w:rPr>
                <w:b w:val="0"/>
                <w:sz w:val="17"/>
              </w:rPr>
              <w:t>5.46</w:t>
            </w:r>
          </w:p>
        </w:tc>
        <w:tc>
          <w:tcPr>
            <w:tcW w:type="dxa" w:w="1120"/>
            <w:vAlign w:val="center"/>
          </w:tcPr>
          <w:p>
            <w:pPr>
              <w:jc w:val="left"/>
            </w:pPr>
            <w:r/>
            <w:r>
              <w:rPr>
                <w:b w:val="0"/>
                <w:sz w:val="17"/>
              </w:rPr>
              <w:t>1.49</w:t>
            </w:r>
          </w:p>
        </w:tc>
        <w:tc>
          <w:tcPr>
            <w:tcW w:type="dxa" w:w="1120"/>
            <w:vAlign w:val="center"/>
          </w:tcPr>
          <w:p>
            <w:pPr>
              <w:jc w:val="left"/>
            </w:pPr>
            <w:r/>
            <w:r>
              <w:rPr>
                <w:b w:val="0"/>
                <w:sz w:val="17"/>
              </w:rPr>
              <w:t>4.0</w:t>
            </w:r>
          </w:p>
        </w:tc>
        <w:tc>
          <w:tcPr>
            <w:tcW w:type="dxa" w:w="1120"/>
            <w:vAlign w:val="center"/>
          </w:tcPr>
          <w:p>
            <w:pPr>
              <w:jc w:val="left"/>
            </w:pPr>
            <w:r/>
            <w:r>
              <w:rPr>
                <w:b w:val="0"/>
                <w:sz w:val="17"/>
              </w:rPr>
              <w:t>4.0</w:t>
            </w:r>
          </w:p>
        </w:tc>
        <w:tc>
          <w:tcPr>
            <w:tcW w:type="dxa" w:w="1120"/>
            <w:vAlign w:val="center"/>
          </w:tcPr>
          <w:p>
            <w:pPr>
              <w:jc w:val="left"/>
            </w:pPr>
            <w:r/>
            <w:r>
              <w:rPr>
                <w:b w:val="0"/>
                <w:sz w:val="17"/>
              </w:rPr>
              <w:t>6.0</w:t>
            </w:r>
          </w:p>
        </w:tc>
        <w:tc>
          <w:tcPr>
            <w:tcW w:type="dxa" w:w="1120"/>
            <w:vAlign w:val="center"/>
          </w:tcPr>
          <w:p>
            <w:pPr>
              <w:jc w:val="left"/>
            </w:pPr>
            <w:r/>
            <w:r>
              <w:rPr>
                <w:b w:val="0"/>
                <w:sz w:val="17"/>
              </w:rPr>
              <w:t>6.0</w:t>
            </w:r>
          </w:p>
        </w:tc>
        <w:tc>
          <w:tcPr>
            <w:tcW w:type="dxa" w:w="1120"/>
            <w:vAlign w:val="center"/>
          </w:tcPr>
          <w:p>
            <w:pPr>
              <w:jc w:val="left"/>
            </w:pPr>
            <w:r/>
            <w:r>
              <w:rPr>
                <w:b w:val="0"/>
                <w:sz w:val="17"/>
              </w:rPr>
              <w:t>8.0</w:t>
            </w:r>
          </w:p>
        </w:tc>
      </w:tr>
      <w:tr>
        <w:tc>
          <w:tcPr>
            <w:tcW w:type="dxa" w:w="1120"/>
            <w:vAlign w:val="center"/>
          </w:tcPr>
          <w:p>
            <w:pPr>
              <w:jc w:val="left"/>
            </w:pPr>
            <w:r/>
            <w:r>
              <w:rPr>
                <w:b w:val="0"/>
                <w:sz w:val="17"/>
              </w:rPr>
              <w:t>displacement</w:t>
            </w:r>
          </w:p>
        </w:tc>
        <w:tc>
          <w:tcPr>
            <w:tcW w:type="dxa" w:w="1120"/>
            <w:vAlign w:val="center"/>
          </w:tcPr>
          <w:p>
            <w:pPr>
              <w:jc w:val="left"/>
            </w:pPr>
            <w:r/>
            <w:r>
              <w:rPr>
                <w:b w:val="0"/>
                <w:sz w:val="17"/>
              </w:rPr>
              <w:t>240.0</w:t>
            </w:r>
          </w:p>
        </w:tc>
        <w:tc>
          <w:tcPr>
            <w:tcW w:type="dxa" w:w="1120"/>
            <w:vAlign w:val="center"/>
          </w:tcPr>
          <w:p>
            <w:pPr>
              <w:jc w:val="left"/>
            </w:pPr>
            <w:r/>
            <w:r>
              <w:rPr>
                <w:b w:val="0"/>
                <w:sz w:val="17"/>
              </w:rPr>
              <w:t>187.69</w:t>
            </w:r>
          </w:p>
        </w:tc>
        <w:tc>
          <w:tcPr>
            <w:tcW w:type="dxa" w:w="1120"/>
            <w:vAlign w:val="center"/>
          </w:tcPr>
          <w:p>
            <w:pPr>
              <w:jc w:val="left"/>
            </w:pPr>
            <w:r/>
            <w:r>
              <w:rPr>
                <w:b w:val="0"/>
                <w:sz w:val="17"/>
              </w:rPr>
              <w:t>49.36</w:t>
            </w:r>
          </w:p>
        </w:tc>
        <w:tc>
          <w:tcPr>
            <w:tcW w:type="dxa" w:w="1120"/>
            <w:vAlign w:val="center"/>
          </w:tcPr>
          <w:p>
            <w:pPr>
              <w:jc w:val="left"/>
            </w:pPr>
            <w:r/>
            <w:r>
              <w:rPr>
                <w:b w:val="0"/>
                <w:sz w:val="17"/>
              </w:rPr>
              <w:t>90.5</w:t>
            </w:r>
          </w:p>
        </w:tc>
        <w:tc>
          <w:tcPr>
            <w:tcW w:type="dxa" w:w="1120"/>
            <w:vAlign w:val="center"/>
          </w:tcPr>
          <w:p>
            <w:pPr>
              <w:jc w:val="left"/>
            </w:pPr>
            <w:r/>
            <w:r>
              <w:rPr>
                <w:b w:val="0"/>
                <w:sz w:val="17"/>
              </w:rPr>
              <w:t>148.9</w:t>
            </w:r>
          </w:p>
        </w:tc>
        <w:tc>
          <w:tcPr>
            <w:tcW w:type="dxa" w:w="1120"/>
            <w:vAlign w:val="center"/>
          </w:tcPr>
          <w:p>
            <w:pPr>
              <w:jc w:val="left"/>
            </w:pPr>
            <w:r/>
            <w:r>
              <w:rPr>
                <w:b w:val="0"/>
                <w:sz w:val="17"/>
              </w:rPr>
              <w:t>187.05</w:t>
            </w:r>
          </w:p>
        </w:tc>
        <w:tc>
          <w:tcPr>
            <w:tcW w:type="dxa" w:w="1120"/>
            <w:vAlign w:val="center"/>
          </w:tcPr>
          <w:p>
            <w:pPr>
              <w:jc w:val="left"/>
            </w:pPr>
            <w:r/>
            <w:r>
              <w:rPr>
                <w:b w:val="0"/>
                <w:sz w:val="17"/>
              </w:rPr>
              <w:t>221.65</w:t>
            </w:r>
          </w:p>
        </w:tc>
        <w:tc>
          <w:tcPr>
            <w:tcW w:type="dxa" w:w="1120"/>
            <w:vAlign w:val="center"/>
          </w:tcPr>
          <w:p>
            <w:pPr>
              <w:jc w:val="left"/>
            </w:pPr>
            <w:r/>
            <w:r>
              <w:rPr>
                <w:b w:val="0"/>
                <w:sz w:val="17"/>
              </w:rPr>
              <w:t>301.9</w:t>
            </w:r>
          </w:p>
        </w:tc>
      </w:tr>
      <w:tr>
        <w:tc>
          <w:tcPr>
            <w:tcW w:type="dxa" w:w="1120"/>
            <w:vAlign w:val="center"/>
          </w:tcPr>
          <w:p>
            <w:pPr>
              <w:jc w:val="left"/>
            </w:pPr>
            <w:r/>
            <w:r>
              <w:rPr>
                <w:b w:val="0"/>
                <w:sz w:val="17"/>
              </w:rPr>
              <w:t>horsepower</w:t>
            </w:r>
          </w:p>
        </w:tc>
        <w:tc>
          <w:tcPr>
            <w:tcW w:type="dxa" w:w="1120"/>
            <w:vAlign w:val="center"/>
          </w:tcPr>
          <w:p>
            <w:pPr>
              <w:jc w:val="left"/>
            </w:pPr>
            <w:r/>
            <w:r>
              <w:rPr>
                <w:b w:val="0"/>
                <w:sz w:val="17"/>
              </w:rPr>
              <w:t>240.0</w:t>
            </w:r>
          </w:p>
        </w:tc>
        <w:tc>
          <w:tcPr>
            <w:tcW w:type="dxa" w:w="1120"/>
            <w:vAlign w:val="center"/>
          </w:tcPr>
          <w:p>
            <w:pPr>
              <w:jc w:val="left"/>
            </w:pPr>
            <w:r/>
            <w:r>
              <w:rPr>
                <w:b w:val="0"/>
                <w:sz w:val="17"/>
              </w:rPr>
              <w:t>186.32</w:t>
            </w:r>
          </w:p>
        </w:tc>
        <w:tc>
          <w:tcPr>
            <w:tcW w:type="dxa" w:w="1120"/>
            <w:vAlign w:val="center"/>
          </w:tcPr>
          <w:p>
            <w:pPr>
              <w:jc w:val="left"/>
            </w:pPr>
            <w:r/>
            <w:r>
              <w:rPr>
                <w:b w:val="0"/>
                <w:sz w:val="17"/>
              </w:rPr>
              <w:t>52.01</w:t>
            </w:r>
          </w:p>
        </w:tc>
        <w:tc>
          <w:tcPr>
            <w:tcW w:type="dxa" w:w="1120"/>
            <w:vAlign w:val="center"/>
          </w:tcPr>
          <w:p>
            <w:pPr>
              <w:jc w:val="left"/>
            </w:pPr>
            <w:r/>
            <w:r>
              <w:rPr>
                <w:b w:val="0"/>
                <w:sz w:val="17"/>
              </w:rPr>
              <w:t>47.4</w:t>
            </w:r>
          </w:p>
        </w:tc>
        <w:tc>
          <w:tcPr>
            <w:tcW w:type="dxa" w:w="1120"/>
            <w:vAlign w:val="center"/>
          </w:tcPr>
          <w:p>
            <w:pPr>
              <w:jc w:val="left"/>
            </w:pPr>
            <w:r/>
            <w:r>
              <w:rPr>
                <w:b w:val="0"/>
                <w:sz w:val="17"/>
              </w:rPr>
              <w:t>143.88</w:t>
            </w:r>
          </w:p>
        </w:tc>
        <w:tc>
          <w:tcPr>
            <w:tcW w:type="dxa" w:w="1120"/>
            <w:vAlign w:val="center"/>
          </w:tcPr>
          <w:p>
            <w:pPr>
              <w:jc w:val="left"/>
            </w:pPr>
            <w:r/>
            <w:r>
              <w:rPr>
                <w:b w:val="0"/>
                <w:sz w:val="17"/>
              </w:rPr>
              <w:t>184.5</w:t>
            </w:r>
          </w:p>
        </w:tc>
        <w:tc>
          <w:tcPr>
            <w:tcW w:type="dxa" w:w="1120"/>
            <w:vAlign w:val="center"/>
          </w:tcPr>
          <w:p>
            <w:pPr>
              <w:jc w:val="left"/>
            </w:pPr>
            <w:r/>
            <w:r>
              <w:rPr>
                <w:b w:val="0"/>
                <w:sz w:val="17"/>
              </w:rPr>
              <w:t>234.62</w:t>
            </w:r>
          </w:p>
        </w:tc>
        <w:tc>
          <w:tcPr>
            <w:tcW w:type="dxa" w:w="1120"/>
            <w:vAlign w:val="center"/>
          </w:tcPr>
          <w:p>
            <w:pPr>
              <w:jc w:val="left"/>
            </w:pPr>
            <w:r/>
            <w:r>
              <w:rPr>
                <w:b w:val="0"/>
                <w:sz w:val="17"/>
              </w:rPr>
              <w:t>260.0</w:t>
            </w:r>
          </w:p>
        </w:tc>
      </w:tr>
      <w:tr>
        <w:tc>
          <w:tcPr>
            <w:tcW w:type="dxa" w:w="1120"/>
            <w:vAlign w:val="center"/>
          </w:tcPr>
          <w:p>
            <w:pPr>
              <w:jc w:val="left"/>
            </w:pPr>
            <w:r/>
            <w:r>
              <w:rPr>
                <w:b w:val="0"/>
                <w:sz w:val="17"/>
              </w:rPr>
              <w:t>weight</w:t>
            </w:r>
          </w:p>
        </w:tc>
        <w:tc>
          <w:tcPr>
            <w:tcW w:type="dxa" w:w="1120"/>
            <w:vAlign w:val="center"/>
          </w:tcPr>
          <w:p>
            <w:pPr>
              <w:jc w:val="left"/>
            </w:pPr>
            <w:r/>
            <w:r>
              <w:rPr>
                <w:b w:val="0"/>
                <w:sz w:val="17"/>
              </w:rPr>
              <w:t>240.0</w:t>
            </w:r>
          </w:p>
        </w:tc>
        <w:tc>
          <w:tcPr>
            <w:tcW w:type="dxa" w:w="1120"/>
            <w:vAlign w:val="center"/>
          </w:tcPr>
          <w:p>
            <w:pPr>
              <w:jc w:val="left"/>
            </w:pPr>
            <w:r/>
            <w:r>
              <w:rPr>
                <w:b w:val="0"/>
                <w:sz w:val="17"/>
              </w:rPr>
              <w:t>3775.62</w:t>
            </w:r>
          </w:p>
        </w:tc>
        <w:tc>
          <w:tcPr>
            <w:tcW w:type="dxa" w:w="1120"/>
            <w:vAlign w:val="center"/>
          </w:tcPr>
          <w:p>
            <w:pPr>
              <w:jc w:val="left"/>
            </w:pPr>
            <w:r/>
            <w:r>
              <w:rPr>
                <w:b w:val="0"/>
                <w:sz w:val="17"/>
              </w:rPr>
              <w:t>590.13</w:t>
            </w:r>
          </w:p>
        </w:tc>
        <w:tc>
          <w:tcPr>
            <w:tcW w:type="dxa" w:w="1120"/>
            <w:vAlign w:val="center"/>
          </w:tcPr>
          <w:p>
            <w:pPr>
              <w:jc w:val="left"/>
            </w:pPr>
            <w:r/>
            <w:r>
              <w:rPr>
                <w:b w:val="0"/>
                <w:sz w:val="17"/>
              </w:rPr>
              <w:t>2192.0</w:t>
            </w:r>
          </w:p>
        </w:tc>
        <w:tc>
          <w:tcPr>
            <w:tcW w:type="dxa" w:w="1120"/>
            <w:vAlign w:val="center"/>
          </w:tcPr>
          <w:p>
            <w:pPr>
              <w:jc w:val="left"/>
            </w:pPr>
            <w:r/>
            <w:r>
              <w:rPr>
                <w:b w:val="0"/>
                <w:sz w:val="17"/>
              </w:rPr>
              <w:t>3329.0</w:t>
            </w:r>
          </w:p>
        </w:tc>
        <w:tc>
          <w:tcPr>
            <w:tcW w:type="dxa" w:w="1120"/>
            <w:vAlign w:val="center"/>
          </w:tcPr>
          <w:p>
            <w:pPr>
              <w:jc w:val="left"/>
            </w:pPr>
            <w:r/>
            <w:r>
              <w:rPr>
                <w:b w:val="0"/>
                <w:sz w:val="17"/>
              </w:rPr>
              <w:t>3737.0</w:t>
            </w:r>
          </w:p>
        </w:tc>
        <w:tc>
          <w:tcPr>
            <w:tcW w:type="dxa" w:w="1120"/>
            <w:vAlign w:val="center"/>
          </w:tcPr>
          <w:p>
            <w:pPr>
              <w:jc w:val="left"/>
            </w:pPr>
            <w:r/>
            <w:r>
              <w:rPr>
                <w:b w:val="0"/>
                <w:sz w:val="17"/>
              </w:rPr>
              <w:t>4143.0</w:t>
            </w:r>
          </w:p>
        </w:tc>
        <w:tc>
          <w:tcPr>
            <w:tcW w:type="dxa" w:w="1120"/>
            <w:vAlign w:val="center"/>
          </w:tcPr>
          <w:p>
            <w:pPr>
              <w:jc w:val="left"/>
            </w:pPr>
            <w:r/>
            <w:r>
              <w:rPr>
                <w:b w:val="0"/>
                <w:sz w:val="17"/>
              </w:rPr>
              <w:t>5200.0</w:t>
            </w:r>
          </w:p>
        </w:tc>
      </w:tr>
      <w:tr>
        <w:tc>
          <w:tcPr>
            <w:tcW w:type="dxa" w:w="1120"/>
            <w:vAlign w:val="center"/>
          </w:tcPr>
          <w:p>
            <w:pPr>
              <w:jc w:val="left"/>
            </w:pPr>
            <w:r/>
            <w:r>
              <w:rPr>
                <w:b w:val="0"/>
                <w:sz w:val="17"/>
              </w:rPr>
              <w:t>acceleration</w:t>
            </w:r>
          </w:p>
        </w:tc>
        <w:tc>
          <w:tcPr>
            <w:tcW w:type="dxa" w:w="1120"/>
            <w:vAlign w:val="center"/>
          </w:tcPr>
          <w:p>
            <w:pPr>
              <w:jc w:val="left"/>
            </w:pPr>
            <w:r/>
            <w:r>
              <w:rPr>
                <w:b w:val="0"/>
                <w:sz w:val="17"/>
              </w:rPr>
              <w:t>240.0</w:t>
            </w:r>
          </w:p>
        </w:tc>
        <w:tc>
          <w:tcPr>
            <w:tcW w:type="dxa" w:w="1120"/>
            <w:vAlign w:val="center"/>
          </w:tcPr>
          <w:p>
            <w:pPr>
              <w:jc w:val="left"/>
            </w:pPr>
            <w:r/>
            <w:r>
              <w:rPr>
                <w:b w:val="0"/>
                <w:sz w:val="17"/>
              </w:rPr>
              <w:t>21.77</w:t>
            </w:r>
          </w:p>
        </w:tc>
        <w:tc>
          <w:tcPr>
            <w:tcW w:type="dxa" w:w="1120"/>
            <w:vAlign w:val="center"/>
          </w:tcPr>
          <w:p>
            <w:pPr>
              <w:jc w:val="left"/>
            </w:pPr>
            <w:r/>
            <w:r>
              <w:rPr>
                <w:b w:val="0"/>
                <w:sz w:val="17"/>
              </w:rPr>
              <w:t>1.94</w:t>
            </w:r>
          </w:p>
        </w:tc>
        <w:tc>
          <w:tcPr>
            <w:tcW w:type="dxa" w:w="1120"/>
            <w:vAlign w:val="center"/>
          </w:tcPr>
          <w:p>
            <w:pPr>
              <w:jc w:val="left"/>
            </w:pPr>
            <w:r/>
            <w:r>
              <w:rPr>
                <w:b w:val="0"/>
                <w:sz w:val="17"/>
              </w:rPr>
              <w:t>17.1</w:t>
            </w:r>
          </w:p>
        </w:tc>
        <w:tc>
          <w:tcPr>
            <w:tcW w:type="dxa" w:w="1120"/>
            <w:vAlign w:val="center"/>
          </w:tcPr>
          <w:p>
            <w:pPr>
              <w:jc w:val="left"/>
            </w:pPr>
            <w:r/>
            <w:r>
              <w:rPr>
                <w:b w:val="0"/>
                <w:sz w:val="17"/>
              </w:rPr>
              <w:t>20.5</w:t>
            </w:r>
          </w:p>
        </w:tc>
        <w:tc>
          <w:tcPr>
            <w:tcW w:type="dxa" w:w="1120"/>
            <w:vAlign w:val="center"/>
          </w:tcPr>
          <w:p>
            <w:pPr>
              <w:jc w:val="left"/>
            </w:pPr>
            <w:r/>
            <w:r>
              <w:rPr>
                <w:b w:val="0"/>
                <w:sz w:val="17"/>
              </w:rPr>
              <w:t>21.8</w:t>
            </w:r>
          </w:p>
        </w:tc>
        <w:tc>
          <w:tcPr>
            <w:tcW w:type="dxa" w:w="1120"/>
            <w:vAlign w:val="center"/>
          </w:tcPr>
          <w:p>
            <w:pPr>
              <w:jc w:val="left"/>
            </w:pPr>
            <w:r/>
            <w:r>
              <w:rPr>
                <w:b w:val="0"/>
                <w:sz w:val="17"/>
              </w:rPr>
              <w:t>23.02</w:t>
            </w:r>
          </w:p>
        </w:tc>
        <w:tc>
          <w:tcPr>
            <w:tcW w:type="dxa" w:w="1120"/>
            <w:vAlign w:val="center"/>
          </w:tcPr>
          <w:p>
            <w:pPr>
              <w:jc w:val="left"/>
            </w:pPr>
            <w:r/>
            <w:r>
              <w:rPr>
                <w:b w:val="0"/>
                <w:sz w:val="17"/>
              </w:rPr>
              <w:t>26.1</w:t>
            </w:r>
          </w:p>
        </w:tc>
      </w:tr>
    </w:tbl>
    <w:p>
      <w:pPr>
        <w:spacing w:after="100" w:line="259" w:lineRule="auto"/>
        <w:jc w:val="both"/>
      </w:pPr>
      <w:r>
        <w:rPr>
          <w:rFonts w:ascii="Aptos" w:hAnsi="Aptos"/>
          <w:color w:val="263746"/>
          <w:sz w:val="20"/>
        </w:rPr>
        <w:t>Interpretation: the variables show substantial variation in scale and spread. This supports multiple plot types and makes normalization/scaling an important consideration for future machine-learning models.</w:t>
      </w:r>
    </w:p>
    <w:p>
      <w:r>
        <w:br w:type="page"/>
      </w:r>
    </w:p>
    <w:p>
      <w:pPr>
        <w:spacing w:before="80" w:after="140"/>
      </w:pPr>
      <w:r>
        <w:rPr>
          <w:rFonts w:ascii="Aptos Display" w:hAnsi="Aptos Display"/>
          <w:b/>
          <w:color w:val="0B1F33"/>
          <w:sz w:val="32"/>
        </w:rPr>
        <w:t>5. Univariate EDA</w:t>
      </w:r>
    </w:p>
    <w:p>
      <w:pPr>
        <w:jc w:val="center"/>
      </w:pPr>
      <w:r>
        <w:drawing>
          <wp:inline xmlns:a="http://schemas.openxmlformats.org/drawingml/2006/main" xmlns:pic="http://schemas.openxmlformats.org/drawingml/2006/picture">
            <wp:extent cx="5212080" cy="2911575"/>
            <wp:docPr id="1" name="Picture 1"/>
            <wp:cNvGraphicFramePr>
              <a:graphicFrameLocks noChangeAspect="1"/>
            </wp:cNvGraphicFramePr>
            <a:graphic>
              <a:graphicData uri="http://schemas.openxmlformats.org/drawingml/2006/picture">
                <pic:pic>
                  <pic:nvPicPr>
                    <pic:cNvPr id="0" name="01_mpg_distribution.png"/>
                    <pic:cNvPicPr/>
                  </pic:nvPicPr>
                  <pic:blipFill>
                    <a:blip r:embed="rId9"/>
                    <a:stretch>
                      <a:fillRect/>
                    </a:stretch>
                  </pic:blipFill>
                  <pic:spPr>
                    <a:xfrm>
                      <a:off x="0" y="0"/>
                      <a:ext cx="5212080" cy="2911575"/>
                    </a:xfrm>
                    <a:prstGeom prst="rect"/>
                  </pic:spPr>
                </pic:pic>
              </a:graphicData>
            </a:graphic>
          </wp:inline>
        </w:drawing>
      </w:r>
    </w:p>
    <w:p>
      <w:pPr>
        <w:jc w:val="center"/>
      </w:pPr>
      <w:r>
        <w:rPr>
          <w:b/>
          <w:color w:val="536779"/>
          <w:sz w:val="16"/>
        </w:rPr>
        <w:t>Figure 1 — MPG Distribution. The distribution shows the range of vehicle fuel-efficiency values and helps identify typical and unusual observations.</w:t>
      </w:r>
    </w:p>
    <w:p>
      <w:pPr>
        <w:jc w:val="center"/>
      </w:pPr>
      <w:r>
        <w:drawing>
          <wp:inline xmlns:a="http://schemas.openxmlformats.org/drawingml/2006/main" xmlns:pic="http://schemas.openxmlformats.org/drawingml/2006/picture">
            <wp:extent cx="5212080" cy="2906564"/>
            <wp:docPr id="2" name="Picture 2"/>
            <wp:cNvGraphicFramePr>
              <a:graphicFrameLocks noChangeAspect="1"/>
            </wp:cNvGraphicFramePr>
            <a:graphic>
              <a:graphicData uri="http://schemas.openxmlformats.org/drawingml/2006/picture">
                <pic:pic>
                  <pic:nvPicPr>
                    <pic:cNvPr id="0" name="02_hp_box.png"/>
                    <pic:cNvPicPr/>
                  </pic:nvPicPr>
                  <pic:blipFill>
                    <a:blip r:embed="rId10"/>
                    <a:stretch>
                      <a:fillRect/>
                    </a:stretch>
                  </pic:blipFill>
                  <pic:spPr>
                    <a:xfrm>
                      <a:off x="0" y="0"/>
                      <a:ext cx="5212080" cy="2906564"/>
                    </a:xfrm>
                    <a:prstGeom prst="rect"/>
                  </pic:spPr>
                </pic:pic>
              </a:graphicData>
            </a:graphic>
          </wp:inline>
        </w:drawing>
      </w:r>
    </w:p>
    <w:p>
      <w:pPr>
        <w:jc w:val="center"/>
      </w:pPr>
      <w:r>
        <w:rPr>
          <w:b/>
          <w:color w:val="536779"/>
          <w:sz w:val="16"/>
        </w:rPr>
        <w:t>Figure 2 — Horsepower Box Plot. The box plot summarizes the central range and highlights possible extreme power values.</w:t>
      </w:r>
    </w:p>
    <w:p>
      <w:r>
        <w:br w:type="page"/>
      </w:r>
    </w:p>
    <w:p>
      <w:pPr>
        <w:spacing w:before="80" w:after="140"/>
      </w:pPr>
      <w:r>
        <w:rPr>
          <w:rFonts w:ascii="Aptos Display" w:hAnsi="Aptos Display"/>
          <w:b/>
          <w:color w:val="0B1F33"/>
          <w:sz w:val="32"/>
        </w:rPr>
        <w:t>6. Comparative EDA</w:t>
      </w:r>
    </w:p>
    <w:p>
      <w:pPr>
        <w:jc w:val="center"/>
      </w:pPr>
      <w:r>
        <w:drawing>
          <wp:inline xmlns:a="http://schemas.openxmlformats.org/drawingml/2006/main" xmlns:pic="http://schemas.openxmlformats.org/drawingml/2006/picture">
            <wp:extent cx="4892040" cy="2732794"/>
            <wp:docPr id="3" name="Picture 3"/>
            <wp:cNvGraphicFramePr>
              <a:graphicFrameLocks noChangeAspect="1"/>
            </wp:cNvGraphicFramePr>
            <a:graphic>
              <a:graphicData uri="http://schemas.openxmlformats.org/drawingml/2006/picture">
                <pic:pic>
                  <pic:nvPicPr>
                    <pic:cNvPr id="0" name="03_cylinders.png"/>
                    <pic:cNvPicPr/>
                  </pic:nvPicPr>
                  <pic:blipFill>
                    <a:blip r:embed="rId11"/>
                    <a:stretch>
                      <a:fillRect/>
                    </a:stretch>
                  </pic:blipFill>
                  <pic:spPr>
                    <a:xfrm>
                      <a:off x="0" y="0"/>
                      <a:ext cx="4892040" cy="2732794"/>
                    </a:xfrm>
                    <a:prstGeom prst="rect"/>
                  </pic:spPr>
                </pic:pic>
              </a:graphicData>
            </a:graphic>
          </wp:inline>
        </w:drawing>
      </w:r>
    </w:p>
    <w:p>
      <w:pPr>
        <w:jc w:val="center"/>
      </w:pPr>
      <w:r>
        <w:rPr>
          <w:b/>
          <w:color w:val="536779"/>
          <w:sz w:val="16"/>
        </w:rPr>
        <w:t>Figure 3 — Cylinder Segmentation. Cylinder count is a useful categorical variable for comparing vehicle populations.</w:t>
      </w:r>
    </w:p>
    <w:p>
      <w:pPr>
        <w:jc w:val="center"/>
      </w:pPr>
      <w:r>
        <w:drawing>
          <wp:inline xmlns:a="http://schemas.openxmlformats.org/drawingml/2006/main" xmlns:pic="http://schemas.openxmlformats.org/drawingml/2006/picture">
            <wp:extent cx="4892040" cy="2732794"/>
            <wp:docPr id="4" name="Picture 4"/>
            <wp:cNvGraphicFramePr>
              <a:graphicFrameLocks noChangeAspect="1"/>
            </wp:cNvGraphicFramePr>
            <a:graphic>
              <a:graphicData uri="http://schemas.openxmlformats.org/drawingml/2006/picture">
                <pic:pic>
                  <pic:nvPicPr>
                    <pic:cNvPr id="0" name="04_mpg_cyl.png"/>
                    <pic:cNvPicPr/>
                  </pic:nvPicPr>
                  <pic:blipFill>
                    <a:blip r:embed="rId12"/>
                    <a:stretch>
                      <a:fillRect/>
                    </a:stretch>
                  </pic:blipFill>
                  <pic:spPr>
                    <a:xfrm>
                      <a:off x="0" y="0"/>
                      <a:ext cx="4892040" cy="2732794"/>
                    </a:xfrm>
                    <a:prstGeom prst="rect"/>
                  </pic:spPr>
                </pic:pic>
              </a:graphicData>
            </a:graphic>
          </wp:inline>
        </w:drawing>
      </w:r>
    </w:p>
    <w:p>
      <w:pPr>
        <w:jc w:val="center"/>
      </w:pPr>
      <w:r>
        <w:rPr>
          <w:b/>
          <w:color w:val="536779"/>
          <w:sz w:val="16"/>
        </w:rPr>
        <w:t>Figure 4 — MPG by Cylinders. Average MPG varies by cylinder configuration, supporting efficiency segmentation.</w:t>
      </w:r>
    </w:p>
    <w:p>
      <w:pPr>
        <w:jc w:val="center"/>
      </w:pPr>
      <w:r>
        <w:drawing>
          <wp:inline xmlns:a="http://schemas.openxmlformats.org/drawingml/2006/main" xmlns:pic="http://schemas.openxmlformats.org/drawingml/2006/picture">
            <wp:extent cx="4892040" cy="2732794"/>
            <wp:docPr id="5" name="Picture 5"/>
            <wp:cNvGraphicFramePr>
              <a:graphicFrameLocks noChangeAspect="1"/>
            </wp:cNvGraphicFramePr>
            <a:graphic>
              <a:graphicData uri="http://schemas.openxmlformats.org/drawingml/2006/picture">
                <pic:pic>
                  <pic:nvPicPr>
                    <pic:cNvPr id="0" name="08_origin_mpg.png"/>
                    <pic:cNvPicPr/>
                  </pic:nvPicPr>
                  <pic:blipFill>
                    <a:blip r:embed="rId13"/>
                    <a:stretch>
                      <a:fillRect/>
                    </a:stretch>
                  </pic:blipFill>
                  <pic:spPr>
                    <a:xfrm>
                      <a:off x="0" y="0"/>
                      <a:ext cx="4892040" cy="2732794"/>
                    </a:xfrm>
                    <a:prstGeom prst="rect"/>
                  </pic:spPr>
                </pic:pic>
              </a:graphicData>
            </a:graphic>
          </wp:inline>
        </w:drawing>
      </w:r>
    </w:p>
    <w:p>
      <w:pPr>
        <w:jc w:val="center"/>
      </w:pPr>
      <w:r>
        <w:rPr>
          <w:b/>
          <w:color w:val="536779"/>
          <w:sz w:val="16"/>
        </w:rPr>
        <w:t>Figure 8 — MPG by Origin. Origin-level comparison provides another segmentation view.</w:t>
      </w:r>
    </w:p>
    <w:p>
      <w:r>
        <w:br w:type="page"/>
      </w:r>
    </w:p>
    <w:p>
      <w:pPr>
        <w:spacing w:before="80" w:after="140"/>
      </w:pPr>
      <w:r>
        <w:rPr>
          <w:rFonts w:ascii="Aptos Display" w:hAnsi="Aptos Display"/>
          <w:b/>
          <w:color w:val="0B1F33"/>
          <w:sz w:val="32"/>
        </w:rPr>
        <w:t>7. Relationship &amp; Trend Analysis</w:t>
      </w:r>
    </w:p>
    <w:p>
      <w:pPr>
        <w:jc w:val="center"/>
      </w:pPr>
      <w:r>
        <w:drawing>
          <wp:inline xmlns:a="http://schemas.openxmlformats.org/drawingml/2006/main" xmlns:pic="http://schemas.openxmlformats.org/drawingml/2006/picture">
            <wp:extent cx="4937760" cy="2758335"/>
            <wp:docPr id="6" name="Picture 6"/>
            <wp:cNvGraphicFramePr>
              <a:graphicFrameLocks noChangeAspect="1"/>
            </wp:cNvGraphicFramePr>
            <a:graphic>
              <a:graphicData uri="http://schemas.openxmlformats.org/drawingml/2006/picture">
                <pic:pic>
                  <pic:nvPicPr>
                    <pic:cNvPr id="0" name="05_hp_mpg.png"/>
                    <pic:cNvPicPr/>
                  </pic:nvPicPr>
                  <pic:blipFill>
                    <a:blip r:embed="rId14"/>
                    <a:stretch>
                      <a:fillRect/>
                    </a:stretch>
                  </pic:blipFill>
                  <pic:spPr>
                    <a:xfrm>
                      <a:off x="0" y="0"/>
                      <a:ext cx="4937760" cy="2758335"/>
                    </a:xfrm>
                    <a:prstGeom prst="rect"/>
                  </pic:spPr>
                </pic:pic>
              </a:graphicData>
            </a:graphic>
          </wp:inline>
        </w:drawing>
      </w:r>
    </w:p>
    <w:p>
      <w:pPr>
        <w:jc w:val="center"/>
      </w:pPr>
      <w:r>
        <w:rPr>
          <w:b/>
          <w:color w:val="536779"/>
          <w:sz w:val="16"/>
        </w:rPr>
        <w:t>Figure 5 — Horsepower vs MPG. The relationship is broadly negative in the representative dataset.</w:t>
      </w:r>
    </w:p>
    <w:p>
      <w:pPr>
        <w:jc w:val="center"/>
      </w:pPr>
      <w:r>
        <w:drawing>
          <wp:inline xmlns:a="http://schemas.openxmlformats.org/drawingml/2006/main" xmlns:pic="http://schemas.openxmlformats.org/drawingml/2006/picture">
            <wp:extent cx="4937760" cy="2758335"/>
            <wp:docPr id="7" name="Picture 7"/>
            <wp:cNvGraphicFramePr>
              <a:graphicFrameLocks noChangeAspect="1"/>
            </wp:cNvGraphicFramePr>
            <a:graphic>
              <a:graphicData uri="http://schemas.openxmlformats.org/drawingml/2006/picture">
                <pic:pic>
                  <pic:nvPicPr>
                    <pic:cNvPr id="0" name="06_weight_mpg.png"/>
                    <pic:cNvPicPr/>
                  </pic:nvPicPr>
                  <pic:blipFill>
                    <a:blip r:embed="rId15"/>
                    <a:stretch>
                      <a:fillRect/>
                    </a:stretch>
                  </pic:blipFill>
                  <pic:spPr>
                    <a:xfrm>
                      <a:off x="0" y="0"/>
                      <a:ext cx="4937760" cy="2758335"/>
                    </a:xfrm>
                    <a:prstGeom prst="rect"/>
                  </pic:spPr>
                </pic:pic>
              </a:graphicData>
            </a:graphic>
          </wp:inline>
        </w:drawing>
      </w:r>
    </w:p>
    <w:p>
      <w:pPr>
        <w:jc w:val="center"/>
      </w:pPr>
      <w:r>
        <w:rPr>
          <w:b/>
          <w:color w:val="536779"/>
          <w:sz w:val="16"/>
        </w:rPr>
        <w:t>Figure 6 — Weight vs MPG. The inverse relationship suggests vehicle mass is an important explanatory factor.</w:t>
      </w:r>
    </w:p>
    <w:p>
      <w:pPr>
        <w:jc w:val="center"/>
      </w:pPr>
      <w:r>
        <w:drawing>
          <wp:inline xmlns:a="http://schemas.openxmlformats.org/drawingml/2006/main" xmlns:pic="http://schemas.openxmlformats.org/drawingml/2006/picture">
            <wp:extent cx="4937760" cy="2758335"/>
            <wp:docPr id="8" name="Picture 8"/>
            <wp:cNvGraphicFramePr>
              <a:graphicFrameLocks noChangeAspect="1"/>
            </wp:cNvGraphicFramePr>
            <a:graphic>
              <a:graphicData uri="http://schemas.openxmlformats.org/drawingml/2006/picture">
                <pic:pic>
                  <pic:nvPicPr>
                    <pic:cNvPr id="0" name="07_year_mpg.png"/>
                    <pic:cNvPicPr/>
                  </pic:nvPicPr>
                  <pic:blipFill>
                    <a:blip r:embed="rId16"/>
                    <a:stretch>
                      <a:fillRect/>
                    </a:stretch>
                  </pic:blipFill>
                  <pic:spPr>
                    <a:xfrm>
                      <a:off x="0" y="0"/>
                      <a:ext cx="4937760" cy="2758335"/>
                    </a:xfrm>
                    <a:prstGeom prst="rect"/>
                  </pic:spPr>
                </pic:pic>
              </a:graphicData>
            </a:graphic>
          </wp:inline>
        </w:drawing>
      </w:r>
    </w:p>
    <w:p>
      <w:pPr>
        <w:jc w:val="center"/>
      </w:pPr>
      <w:r>
        <w:rPr>
          <w:b/>
          <w:color w:val="536779"/>
          <w:sz w:val="16"/>
        </w:rPr>
        <w:t>Figure 7 — Model-Year Trend. Tracking average MPG over time helps identify historical changes.</w:t>
      </w:r>
    </w:p>
    <w:p>
      <w:r>
        <w:br w:type="page"/>
      </w:r>
    </w:p>
    <w:p>
      <w:pPr>
        <w:spacing w:before="80" w:after="140"/>
      </w:pPr>
      <w:r>
        <w:rPr>
          <w:rFonts w:ascii="Aptos Display" w:hAnsi="Aptos Display"/>
          <w:b/>
          <w:color w:val="0B1F33"/>
          <w:sz w:val="32"/>
        </w:rPr>
        <w:t>8. Correlation &amp; Anomaly Analysis</w:t>
      </w:r>
    </w:p>
    <w:p>
      <w:pPr>
        <w:jc w:val="center"/>
      </w:pPr>
      <w:r>
        <w:drawing>
          <wp:inline xmlns:a="http://schemas.openxmlformats.org/drawingml/2006/main" xmlns:pic="http://schemas.openxmlformats.org/drawingml/2006/picture">
            <wp:extent cx="5029200" cy="2856902"/>
            <wp:docPr id="9" name="Picture 9"/>
            <wp:cNvGraphicFramePr>
              <a:graphicFrameLocks noChangeAspect="1"/>
            </wp:cNvGraphicFramePr>
            <a:graphic>
              <a:graphicData uri="http://schemas.openxmlformats.org/drawingml/2006/picture">
                <pic:pic>
                  <pic:nvPicPr>
                    <pic:cNvPr id="0" name="09_heatmap.png"/>
                    <pic:cNvPicPr/>
                  </pic:nvPicPr>
                  <pic:blipFill>
                    <a:blip r:embed="rId17"/>
                    <a:stretch>
                      <a:fillRect/>
                    </a:stretch>
                  </pic:blipFill>
                  <pic:spPr>
                    <a:xfrm>
                      <a:off x="0" y="0"/>
                      <a:ext cx="5029200" cy="2856902"/>
                    </a:xfrm>
                    <a:prstGeom prst="rect"/>
                  </pic:spPr>
                </pic:pic>
              </a:graphicData>
            </a:graphic>
          </wp:inline>
        </w:drawing>
      </w:r>
    </w:p>
    <w:p>
      <w:pPr>
        <w:jc w:val="center"/>
      </w:pPr>
      <w:r>
        <w:rPr>
          <w:b/>
          <w:color w:val="536779"/>
          <w:sz w:val="16"/>
        </w:rPr>
        <w:t>Figure 9 — Correlation Heatmap. Strong relationships can guide feature selection and identify potential multicollinearity.</w:t>
      </w:r>
    </w:p>
    <w:p>
      <w:pPr>
        <w:jc w:val="center"/>
      </w:pPr>
      <w:r>
        <w:drawing>
          <wp:inline xmlns:a="http://schemas.openxmlformats.org/drawingml/2006/main" xmlns:pic="http://schemas.openxmlformats.org/drawingml/2006/picture">
            <wp:extent cx="5029200" cy="2809415"/>
            <wp:docPr id="10" name="Picture 10"/>
            <wp:cNvGraphicFramePr>
              <a:graphicFrameLocks noChangeAspect="1"/>
            </wp:cNvGraphicFramePr>
            <a:graphic>
              <a:graphicData uri="http://schemas.openxmlformats.org/drawingml/2006/picture">
                <pic:pic>
                  <pic:nvPicPr>
                    <pic:cNvPr id="0" name="10_disp_hp.png"/>
                    <pic:cNvPicPr/>
                  </pic:nvPicPr>
                  <pic:blipFill>
                    <a:blip r:embed="rId18"/>
                    <a:stretch>
                      <a:fillRect/>
                    </a:stretch>
                  </pic:blipFill>
                  <pic:spPr>
                    <a:xfrm>
                      <a:off x="0" y="0"/>
                      <a:ext cx="5029200" cy="2809415"/>
                    </a:xfrm>
                    <a:prstGeom prst="rect"/>
                  </pic:spPr>
                </pic:pic>
              </a:graphicData>
            </a:graphic>
          </wp:inline>
        </w:drawing>
      </w:r>
    </w:p>
    <w:p>
      <w:pPr>
        <w:jc w:val="center"/>
      </w:pPr>
      <w:r>
        <w:rPr>
          <w:b/>
          <w:color w:val="536779"/>
          <w:sz w:val="16"/>
        </w:rPr>
        <w:t>Figure 10 — Displacement vs Horsepower. Engine displacement and power generally increase together.</w:t>
      </w:r>
    </w:p>
    <w:p>
      <w:pPr>
        <w:spacing w:before="80" w:after="140"/>
      </w:pPr>
      <w:r>
        <w:rPr>
          <w:rFonts w:ascii="Aptos Display" w:hAnsi="Aptos Display"/>
          <w:b/>
          <w:color w:val="167A9A"/>
          <w:sz w:val="24"/>
        </w:rPr>
        <w:t>Anomaly Strategy</w:t>
      </w:r>
    </w:p>
    <w:p>
      <w:pPr>
        <w:spacing w:after="100" w:line="259" w:lineRule="auto"/>
        <w:jc w:val="both"/>
      </w:pPr>
      <w:r>
        <w:rPr>
          <w:rFonts w:ascii="Aptos" w:hAnsi="Aptos"/>
          <w:color w:val="263746"/>
          <w:sz w:val="20"/>
        </w:rPr>
        <w:t>Potential anomalies should be reviewed with domain knowledge. Useful techniques include box plots, percentile checks, IQR rules and scatter plots. The goal is to distinguish data-entry errors from genuine high-performance or unusual vehicles.</w:t>
      </w:r>
    </w:p>
    <w:p>
      <w:r>
        <w:br w:type="page"/>
      </w:r>
    </w:p>
    <w:p>
      <w:pPr>
        <w:spacing w:before="80" w:after="140"/>
      </w:pPr>
      <w:r>
        <w:rPr>
          <w:rFonts w:ascii="Aptos Display" w:hAnsi="Aptos Display"/>
          <w:b/>
          <w:color w:val="0B1F33"/>
          <w:sz w:val="32"/>
        </w:rPr>
        <w:t>9. Key Findings &amp; Actionable Insights</w:t>
      </w:r>
    </w:p>
    <w:p>
      <w:pPr>
        <w:spacing w:after="100" w:line="259" w:lineRule="auto"/>
        <w:jc w:val="both"/>
      </w:pPr>
      <w:r>
        <w:rPr>
          <w:rFonts w:ascii="Aptos" w:hAnsi="Aptos"/>
          <w:color w:val="263746"/>
          <w:sz w:val="20"/>
        </w:rPr>
        <w:t>1. Fuel efficiency varies substantially across the vehicle population.</w:t>
      </w:r>
    </w:p>
    <w:p>
      <w:pPr>
        <w:spacing w:after="100" w:line="259" w:lineRule="auto"/>
        <w:jc w:val="both"/>
      </w:pPr>
      <w:r>
        <w:rPr>
          <w:rFonts w:ascii="Aptos" w:hAnsi="Aptos"/>
          <w:color w:val="263746"/>
          <w:sz w:val="20"/>
        </w:rPr>
        <w:t>2. Vehicle weight and horsepower are important variables for explaining MPG differences.</w:t>
      </w:r>
    </w:p>
    <w:p>
      <w:pPr>
        <w:spacing w:after="100" w:line="259" w:lineRule="auto"/>
        <w:jc w:val="both"/>
      </w:pPr>
      <w:r>
        <w:rPr>
          <w:rFonts w:ascii="Aptos" w:hAnsi="Aptos"/>
          <w:color w:val="263746"/>
          <w:sz w:val="20"/>
        </w:rPr>
        <w:t>3. Cylinder count provides a clear segmentation dimension for performance and economy.</w:t>
      </w:r>
    </w:p>
    <w:p>
      <w:pPr>
        <w:spacing w:after="100" w:line="259" w:lineRule="auto"/>
        <w:jc w:val="both"/>
      </w:pPr>
      <w:r>
        <w:rPr>
          <w:rFonts w:ascii="Aptos" w:hAnsi="Aptos"/>
          <w:color w:val="263746"/>
          <w:sz w:val="20"/>
        </w:rPr>
        <w:t>4. Engine displacement is positively associated with horsepower.</w:t>
      </w:r>
    </w:p>
    <w:p>
      <w:pPr>
        <w:spacing w:after="100" w:line="259" w:lineRule="auto"/>
        <w:jc w:val="both"/>
      </w:pPr>
      <w:r>
        <w:rPr>
          <w:rFonts w:ascii="Aptos" w:hAnsi="Aptos"/>
          <w:color w:val="263746"/>
          <w:sz w:val="20"/>
        </w:rPr>
        <w:t>5. Model-year analysis can reveal changes in average efficiency over time.</w:t>
      </w:r>
    </w:p>
    <w:p>
      <w:pPr>
        <w:spacing w:after="100" w:line="259" w:lineRule="auto"/>
        <w:jc w:val="both"/>
      </w:pPr>
      <w:r>
        <w:rPr>
          <w:rFonts w:ascii="Aptos" w:hAnsi="Aptos"/>
          <w:color w:val="263746"/>
          <w:sz w:val="20"/>
        </w:rPr>
        <w:t>6. Origin-level comparisons can support market segmentation analysis.</w:t>
      </w:r>
    </w:p>
    <w:p>
      <w:pPr>
        <w:spacing w:before="80" w:after="140"/>
      </w:pPr>
      <w:r>
        <w:rPr>
          <w:rFonts w:ascii="Aptos Display" w:hAnsi="Aptos Display"/>
          <w:b/>
          <w:color w:val="167A9A"/>
          <w:sz w:val="24"/>
        </w:rPr>
        <w:t>Actionable Insights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B1F33"/>
          </w:tcPr>
          <w:p>
            <w:pPr>
              <w:jc w:val="left"/>
            </w:pPr>
            <w:r/>
            <w:r>
              <w:rPr>
                <w:b/>
                <w:color w:val="FFFFFF"/>
                <w:sz w:val="17"/>
              </w:rPr>
              <w:t>Decision Area</w:t>
            </w:r>
          </w:p>
        </w:tc>
        <w:tc>
          <w:tcPr>
            <w:tcW w:type="dxa" w:w="5040"/>
            <w:vAlign w:val="center"/>
            <w:shd w:fill="0B1F33"/>
          </w:tcPr>
          <w:p>
            <w:pPr>
              <w:jc w:val="left"/>
            </w:pPr>
            <w:r/>
            <w:r>
              <w:rPr>
                <w:b/>
                <w:color w:val="FFFFFF"/>
                <w:sz w:val="17"/>
              </w:rPr>
              <w:t>Recommended analytical action</w:t>
            </w:r>
          </w:p>
        </w:tc>
      </w:tr>
      <w:tr>
        <w:tc>
          <w:tcPr>
            <w:tcW w:type="dxa" w:w="5040"/>
            <w:vAlign w:val="center"/>
          </w:tcPr>
          <w:p>
            <w:pPr>
              <w:jc w:val="left"/>
            </w:pPr>
            <w:r/>
            <w:r>
              <w:rPr>
                <w:b w:val="0"/>
                <w:sz w:val="17"/>
              </w:rPr>
              <w:t>Fuel economy</w:t>
            </w:r>
          </w:p>
        </w:tc>
        <w:tc>
          <w:tcPr>
            <w:tcW w:type="dxa" w:w="5040"/>
            <w:vAlign w:val="center"/>
          </w:tcPr>
          <w:p>
            <w:pPr>
              <w:jc w:val="left"/>
            </w:pPr>
            <w:r/>
            <w:r>
              <w:rPr>
                <w:b w:val="0"/>
                <w:sz w:val="17"/>
              </w:rPr>
              <w:t>Benchmark MPG against vehicle weight and power segments.</w:t>
            </w:r>
          </w:p>
        </w:tc>
      </w:tr>
      <w:tr>
        <w:tc>
          <w:tcPr>
            <w:tcW w:type="dxa" w:w="5040"/>
            <w:vAlign w:val="center"/>
          </w:tcPr>
          <w:p>
            <w:pPr>
              <w:jc w:val="left"/>
            </w:pPr>
            <w:r/>
            <w:r>
              <w:rPr>
                <w:b w:val="0"/>
                <w:sz w:val="17"/>
              </w:rPr>
              <w:t>Product design</w:t>
            </w:r>
          </w:p>
        </w:tc>
        <w:tc>
          <w:tcPr>
            <w:tcW w:type="dxa" w:w="5040"/>
            <w:vAlign w:val="center"/>
          </w:tcPr>
          <w:p>
            <w:pPr>
              <w:jc w:val="left"/>
            </w:pPr>
            <w:r/>
            <w:r>
              <w:rPr>
                <w:b w:val="0"/>
                <w:sz w:val="17"/>
              </w:rPr>
              <w:t>Investigate lightweight and efficient powertrain combinations.</w:t>
            </w:r>
          </w:p>
        </w:tc>
      </w:tr>
      <w:tr>
        <w:tc>
          <w:tcPr>
            <w:tcW w:type="dxa" w:w="5040"/>
            <w:vAlign w:val="center"/>
          </w:tcPr>
          <w:p>
            <w:pPr>
              <w:jc w:val="left"/>
            </w:pPr>
            <w:r/>
            <w:r>
              <w:rPr>
                <w:b w:val="0"/>
                <w:sz w:val="17"/>
              </w:rPr>
              <w:t>Market segmentation</w:t>
            </w:r>
          </w:p>
        </w:tc>
        <w:tc>
          <w:tcPr>
            <w:tcW w:type="dxa" w:w="5040"/>
            <w:vAlign w:val="center"/>
          </w:tcPr>
          <w:p>
            <w:pPr>
              <w:jc w:val="left"/>
            </w:pPr>
            <w:r/>
            <w:r>
              <w:rPr>
                <w:b w:val="0"/>
                <w:sz w:val="17"/>
              </w:rPr>
              <w:t>Compare origin and cylinder groups for positioning.</w:t>
            </w:r>
          </w:p>
        </w:tc>
      </w:tr>
      <w:tr>
        <w:tc>
          <w:tcPr>
            <w:tcW w:type="dxa" w:w="5040"/>
            <w:vAlign w:val="center"/>
          </w:tcPr>
          <w:p>
            <w:pPr>
              <w:jc w:val="left"/>
            </w:pPr>
            <w:r/>
            <w:r>
              <w:rPr>
                <w:b w:val="0"/>
                <w:sz w:val="17"/>
              </w:rPr>
              <w:t>Modeling</w:t>
            </w:r>
          </w:p>
        </w:tc>
        <w:tc>
          <w:tcPr>
            <w:tcW w:type="dxa" w:w="5040"/>
            <w:vAlign w:val="center"/>
          </w:tcPr>
          <w:p>
            <w:pPr>
              <w:jc w:val="left"/>
            </w:pPr>
            <w:r/>
            <w:r>
              <w:rPr>
                <w:b w:val="0"/>
                <w:sz w:val="17"/>
              </w:rPr>
              <w:t>Use MPG as a target and evaluate weight, horsepower, displacement and cylinders as candidate features.</w:t>
            </w:r>
          </w:p>
        </w:tc>
      </w:tr>
      <w:tr>
        <w:tc>
          <w:tcPr>
            <w:tcW w:type="dxa" w:w="5040"/>
            <w:vAlign w:val="center"/>
          </w:tcPr>
          <w:p>
            <w:pPr>
              <w:jc w:val="left"/>
            </w:pPr>
            <w:r/>
            <w:r>
              <w:rPr>
                <w:b w:val="0"/>
                <w:sz w:val="17"/>
              </w:rPr>
              <w:t>Data quality</w:t>
            </w:r>
          </w:p>
        </w:tc>
        <w:tc>
          <w:tcPr>
            <w:tcW w:type="dxa" w:w="5040"/>
            <w:vAlign w:val="center"/>
          </w:tcPr>
          <w:p>
            <w:pPr>
              <w:jc w:val="left"/>
            </w:pPr>
            <w:r/>
            <w:r>
              <w:rPr>
                <w:b w:val="0"/>
                <w:sz w:val="17"/>
              </w:rPr>
              <w:t>Review extreme values before training predictive models.</w:t>
            </w:r>
          </w:p>
        </w:tc>
      </w:tr>
    </w:tbl>
    <w:p>
      <w:pPr>
        <w:spacing w:after="100" w:line="259" w:lineRule="auto"/>
        <w:jc w:val="both"/>
      </w:pPr>
      <w:r>
        <w:rPr>
          <w:rFonts w:ascii="Aptos" w:hAnsi="Aptos"/>
          <w:color w:val="263746"/>
          <w:sz w:val="20"/>
        </w:rPr>
        <w:t>The main lesson from EDA is that visual patterns become valuable when connected to decisions. These insights can be extended into predictive modeling, feature engineering and dashboard development.</w:t>
      </w:r>
    </w:p>
    <w:p>
      <w:r>
        <w:br w:type="page"/>
      </w:r>
    </w:p>
    <w:p>
      <w:pPr>
        <w:spacing w:before="80" w:after="140"/>
      </w:pPr>
      <w:r>
        <w:rPr>
          <w:rFonts w:ascii="Aptos Display" w:hAnsi="Aptos Display"/>
          <w:b/>
          <w:color w:val="0B1F33"/>
          <w:sz w:val="32"/>
        </w:rPr>
        <w:t>10. Python Code, Conclusion &amp; References</w:t>
      </w:r>
    </w:p>
    <w:p>
      <w:pPr>
        <w:spacing w:before="80" w:after="140"/>
      </w:pPr>
      <w:r>
        <w:rPr>
          <w:rFonts w:ascii="Aptos Display" w:hAnsi="Aptos Display"/>
          <w:b/>
          <w:color w:val="167A9A"/>
          <w:sz w:val="24"/>
        </w:rPr>
        <w:t>Annotated Python Example</w:t>
      </w:r>
    </w:p>
    <w:p>
      <w:r>
        <w:rPr>
          <w:rFonts w:ascii="Courier New" w:hAnsi="Courier New"/>
          <w:sz w:val="16"/>
        </w:rPr>
        <w:t>import pandas as pd</w:t>
        <w:br/>
        <w:t>import matplotlib.pyplot as plt</w:t>
        <w:br/>
        <w:br/>
        <w:t>df = pd.read_csv("automotive_eda_sample.csv")</w:t>
        <w:br/>
        <w:t>print(df.head())</w:t>
        <w:br/>
        <w:t>print(df.describe())</w:t>
        <w:br/>
        <w:br/>
        <w:t>plt.scatter(df["horsepower"], df["mpg"], alpha=0.6)</w:t>
        <w:br/>
        <w:t>plt.xlabel("Horsepower")</w:t>
        <w:br/>
        <w:t>plt.ylabel("MPG")</w:t>
        <w:br/>
        <w:t>plt.title("Horsepower vs Fuel Efficiency")</w:t>
        <w:br/>
        <w:t>plt.show()</w:t>
      </w:r>
    </w:p>
    <w:p>
      <w:pPr>
        <w:spacing w:before="80" w:after="140"/>
      </w:pPr>
      <w:r>
        <w:rPr>
          <w:rFonts w:ascii="Aptos Display" w:hAnsi="Aptos Display"/>
          <w:b/>
          <w:color w:val="167A9A"/>
          <w:sz w:val="24"/>
        </w:rPr>
        <w:t>Conclusion</w:t>
      </w:r>
    </w:p>
    <w:p>
      <w:pPr>
        <w:spacing w:after="100" w:line="259" w:lineRule="auto"/>
        <w:jc w:val="both"/>
      </w:pPr>
      <w:r>
        <w:rPr>
          <w:rFonts w:ascii="Aptos" w:hAnsi="Aptos"/>
          <w:color w:val="263746"/>
          <w:sz w:val="20"/>
        </w:rPr>
        <w:t>This Week 3 project demonstrates how Python-based EDA converts automotive records into interpretable information. The combination of descriptive statistics, comparative plots, relationship analysis, correlation analysis and anomaly review creates a strong foundation for deeper automotive analytics.</w:t>
      </w:r>
    </w:p>
    <w:p>
      <w:pPr>
        <w:spacing w:before="80" w:after="140"/>
      </w:pPr>
      <w:r>
        <w:rPr>
          <w:rFonts w:ascii="Aptos Display" w:hAnsi="Aptos Display"/>
          <w:b/>
          <w:color w:val="167A9A"/>
          <w:sz w:val="24"/>
        </w:rPr>
        <w:t>Future Scope</w:t>
      </w:r>
    </w:p>
    <w:p>
      <w:pPr>
        <w:spacing w:after="100" w:line="259" w:lineRule="auto"/>
        <w:jc w:val="both"/>
      </w:pPr>
      <w:r>
        <w:rPr>
          <w:rFonts w:ascii="Aptos" w:hAnsi="Aptos"/>
          <w:color w:val="263746"/>
          <w:sz w:val="20"/>
        </w:rPr>
        <w:t>Future work can replace the representative data with a verified public dataset, add hypothesis testing, create interactive Plotly dashboards, perform feature engineering and develop predictive models for fuel efficiency or vehicle performance.</w:t>
      </w:r>
    </w:p>
    <w:p>
      <w:pPr>
        <w:spacing w:before="80" w:after="140"/>
      </w:pPr>
      <w:r>
        <w:rPr>
          <w:rFonts w:ascii="Aptos Display" w:hAnsi="Aptos Display"/>
          <w:b/>
          <w:color w:val="167A9A"/>
          <w:sz w:val="24"/>
        </w:rPr>
        <w:t>References</w:t>
      </w:r>
    </w:p>
    <w:p>
      <w:pPr>
        <w:spacing w:after="100" w:line="259" w:lineRule="auto"/>
        <w:jc w:val="both"/>
      </w:pPr>
      <w:r>
        <w:rPr>
          <w:rFonts w:ascii="Aptos" w:hAnsi="Aptos"/>
          <w:color w:val="263746"/>
          <w:sz w:val="20"/>
        </w:rPr>
        <w:t>• UCI Machine Learning Repository — Auto MPG dataset.</w:t>
        <w:br/>
        <w:t>• Python Documentation — pandas and NumPy.</w:t>
        <w:br/>
        <w:t>• Matplotlib Documentation — plotting and visualization.</w:t>
        <w:br/>
        <w:t>• McKinney, W. — Python for Data Analysis.</w:t>
      </w:r>
    </w:p>
    <w:p>
      <w:pPr>
        <w:spacing w:after="100" w:line="259" w:lineRule="auto"/>
        <w:jc w:val="both"/>
      </w:pPr>
      <w:r>
        <w:rPr>
          <w:rFonts w:ascii="Aptos" w:hAnsi="Aptos"/>
          <w:color w:val="263746"/>
          <w:sz w:val="20"/>
        </w:rPr>
        <w:t>Submission note: the current report clearly identifies the dataset as representative. For a final internship submission, regenerate the report with the verified public dataset and update the figures, statistics and conclusions accordingly.</w:t>
      </w:r>
    </w:p>
    <w:p>
      <w:pPr>
        <w:pStyle w:val="Heading2"/>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AF2F4"/>
          </w:tcPr>
          <w:p>
            <w:pPr>
              <w:spacing w:after="0"/>
            </w:pPr>
            <w:r/>
            <w:r>
              <w:rPr>
                <w:rFonts w:ascii="Aptos" w:hAnsi="Aptos"/>
                <w:b/>
                <w:color w:val="12233F"/>
                <w:sz w:val="18"/>
              </w:rPr>
              <w:t>Report</w:t>
            </w:r>
          </w:p>
        </w:tc>
        <w:tc>
          <w:tcPr>
            <w:tcW w:type="dxa" w:w="5083"/>
            <w:vAlign w:val="center"/>
          </w:tcPr>
          <w:p>
            <w:pPr>
              <w:spacing w:after="0"/>
            </w:pPr>
            <w:r/>
            <w:r>
              <w:rPr>
                <w:rFonts w:ascii="Aptos" w:hAnsi="Aptos"/>
                <w:b w:val="0"/>
                <w:color w:val="1F2937"/>
                <w:sz w:val="18"/>
              </w:rPr>
              <w:t>Week 3 — Exploratory Data Analysis &amp; Data Visualization</w:t>
            </w:r>
          </w:p>
        </w:tc>
      </w:tr>
      <w:tr>
        <w:tc>
          <w:tcPr>
            <w:tcW w:type="dxa" w:w="5083"/>
            <w:vAlign w:val="center"/>
            <w:shd w:fill="EAF2F4"/>
          </w:tcPr>
          <w:p>
            <w:pPr>
              <w:spacing w:after="0"/>
            </w:pPr>
            <w:r/>
            <w:r>
              <w:rPr>
                <w:rFonts w:ascii="Aptos" w:hAnsi="Aptos"/>
                <w:b/>
                <w:color w:val="12233F"/>
                <w:sz w:val="18"/>
              </w:rPr>
              <w:t>Intern</w:t>
            </w:r>
          </w:p>
        </w:tc>
        <w:tc>
          <w:tcPr>
            <w:tcW w:type="dxa" w:w="5083"/>
            <w:vAlign w:val="center"/>
          </w:tcPr>
          <w:p>
            <w:pPr>
              <w:spacing w:after="0"/>
            </w:pPr>
            <w:r/>
            <w:r>
              <w:rPr>
                <w:rFonts w:ascii="Aptos" w:hAnsi="Aptos"/>
                <w:b w:val="0"/>
                <w:color w:val="1F2937"/>
                <w:sz w:val="18"/>
              </w:rPr>
              <w:t>Samiksha Gurme</w:t>
            </w:r>
          </w:p>
        </w:tc>
      </w:tr>
      <w:tr>
        <w:tc>
          <w:tcPr>
            <w:tcW w:type="dxa" w:w="5083"/>
            <w:vAlign w:val="center"/>
            <w:shd w:fill="EAF2F4"/>
          </w:tcPr>
          <w:p>
            <w:pPr>
              <w:spacing w:after="0"/>
            </w:pPr>
            <w:r/>
            <w:r>
              <w:rPr>
                <w:rFonts w:ascii="Aptos" w:hAnsi="Aptos"/>
                <w:b/>
                <w:color w:val="12233F"/>
                <w:sz w:val="18"/>
              </w:rPr>
              <w:t>Tools</w:t>
            </w:r>
          </w:p>
        </w:tc>
        <w:tc>
          <w:tcPr>
            <w:tcW w:type="dxa" w:w="5083"/>
            <w:vAlign w:val="center"/>
          </w:tcPr>
          <w:p>
            <w:pPr>
              <w:spacing w:after="0"/>
            </w:pPr>
            <w:r/>
            <w:r>
              <w:rPr>
                <w:rFonts w:ascii="Aptos" w:hAnsi="Aptos"/>
                <w:b w:val="0"/>
                <w:color w:val="1F2937"/>
                <w:sz w:val="18"/>
              </w:rPr>
              <w:t>Python • Pandas • NumPy • Matplotlib • Seaborn</w:t>
            </w:r>
          </w:p>
        </w:tc>
      </w:tr>
      <w:tr>
        <w:tc>
          <w:tcPr>
            <w:tcW w:type="dxa" w:w="5083"/>
            <w:vAlign w:val="center"/>
            <w:shd w:fill="EAF2F4"/>
          </w:tcPr>
          <w:p>
            <w:pPr>
              <w:spacing w:after="0"/>
            </w:pPr>
            <w:r/>
            <w:r>
              <w:rPr>
                <w:rFonts w:ascii="Aptos" w:hAnsi="Aptos"/>
                <w:b/>
                <w:color w:val="12233F"/>
                <w:sz w:val="18"/>
              </w:rPr>
              <w:t>Deliverable</w:t>
            </w:r>
          </w:p>
        </w:tc>
        <w:tc>
          <w:tcPr>
            <w:tcW w:type="dxa" w:w="5083"/>
            <w:vAlign w:val="center"/>
          </w:tcPr>
          <w:p>
            <w:pPr>
              <w:spacing w:after="0"/>
            </w:pPr>
            <w:r/>
            <w:r>
              <w:rPr>
                <w:rFonts w:ascii="Aptos" w:hAnsi="Aptos"/>
                <w:b w:val="0"/>
                <w:color w:val="1F2937"/>
                <w:sz w:val="18"/>
              </w:rPr>
              <w:t>Professional EDA Report</w:t>
            </w:r>
          </w:p>
        </w:tc>
      </w:tr>
    </w:tbl>
    <w:sectPr w:rsidR="00FC693F" w:rsidRPr="0006063C" w:rsidSect="00034616">
      <w:headerReference w:type="default" r:id="rId19"/>
      <w:footerReference w:type="default" r:id="rId2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YUVAINTERN  •  AUTOMOTIVE DATA ANALYSIS SPECIALIST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A6A6"/>
        <w:sz w:val="16"/>
      </w:rPr>
      <w:t>WEEK 3  |  EDA &amp; DATA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2233F"/>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6A6A6"/>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2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223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