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240"/>
        <w:jc w:val="center"/>
      </w:pPr>
      <w:r>
        <w:rPr>
          <w:rFonts w:ascii="Aptos" w:hAnsi="Aptos"/>
          <w:b/>
          <w:sz w:val="32"/>
        </w:rPr>
        <w:t>WEEK 2 TASK</w:t>
      </w:r>
    </w:p>
    <w:p>
      <w:pPr>
        <w:jc w:val="center"/>
      </w:pPr>
      <w:r>
        <w:rPr>
          <w:b/>
          <w:sz w:val="56"/>
        </w:rPr>
        <w:t>AUTOMOTIVE DATA ACQUISITION</w:t>
        <w:br/>
        <w:t>AND CLEANING</w:t>
      </w:r>
    </w:p>
    <w:p>
      <w:pPr>
        <w:spacing w:before="0" w:after="760"/>
        <w:jc w:val="center"/>
      </w:pPr>
      <w:r>
        <w:rPr>
          <w:rFonts w:ascii="Aptos" w:hAnsi="Aptos"/>
          <w:b w:val="0"/>
          <w:i/>
          <w:sz w:val="22"/>
        </w:rPr>
        <w:t>Practical Data Preprocessing using Python, Pandas and NumPy</w:t>
      </w:r>
    </w:p>
    <w:p/>
    <w:p/>
    <w:p>
      <w:pPr>
        <w:spacing w:before="80" w:after="200"/>
        <w:jc w:val="center"/>
      </w:pPr>
      <w:r>
        <w:rPr>
          <w:rFonts w:ascii="Aptos" w:hAnsi="Aptos"/>
          <w:b/>
          <w:sz w:val="32"/>
        </w:rPr>
        <w:t>SAMIKSHA GURME</w:t>
      </w:r>
    </w:p>
    <w:p>
      <w:pPr>
        <w:spacing w:before="0" w:after="60"/>
        <w:jc w:val="center"/>
      </w:pPr>
      <w:r>
        <w:rPr>
          <w:rFonts w:ascii="Aptos" w:hAnsi="Aptos"/>
          <w:b w:val="0"/>
          <w:sz w:val="22"/>
        </w:rPr>
        <w:t>B.E. – Computer Science and Engineering</w:t>
      </w:r>
    </w:p>
    <w:p>
      <w:pPr>
        <w:spacing w:before="0" w:after="60"/>
        <w:jc w:val="center"/>
      </w:pPr>
      <w:r>
        <w:rPr>
          <w:rFonts w:ascii="Aptos" w:hAnsi="Aptos"/>
          <w:b w:val="0"/>
          <w:sz w:val="22"/>
        </w:rPr>
        <w:t>Artificial Intelligence &amp; Machine Learning</w:t>
      </w:r>
    </w:p>
    <w:p>
      <w:pPr>
        <w:spacing w:before="0" w:after="560"/>
        <w:jc w:val="center"/>
      </w:pPr>
      <w:r>
        <w:rPr>
          <w:rFonts w:ascii="Aptos" w:hAnsi="Aptos"/>
          <w:b w:val="0"/>
          <w:sz w:val="22"/>
        </w:rPr>
        <w:t>Bheemanna Khandre Institute of Technology, Bhalki</w:t>
      </w:r>
    </w:p>
    <w:p>
      <w:pPr>
        <w:jc w:val="center"/>
      </w:pPr>
      <w:r>
        <w:rPr>
          <w:b w:val="0"/>
          <w:sz w:val="22"/>
        </w:rPr>
      </w:r>
    </w:p>
    <w:p>
      <w:pPr>
        <w:spacing w:before="80" w:after="100"/>
        <w:jc w:val="center"/>
      </w:pPr>
      <w:r>
        <w:rPr>
          <w:rFonts w:ascii="Aptos" w:hAnsi="Aptos"/>
          <w:b/>
          <w:sz w:val="22"/>
        </w:rPr>
        <w:t>YuvaIntern – Automotive Data Analysis Specialist</w:t>
      </w:r>
    </w:p>
    <w:p>
      <w:pPr>
        <w:spacing w:before="0" w:after="0"/>
        <w:jc w:val="center"/>
      </w:pPr>
      <w:r>
        <w:rPr>
          <w:rFonts w:ascii="Aptos" w:hAnsi="Aptos"/>
          <w:b w:val="0"/>
          <w:sz w:val="20"/>
        </w:rPr>
        <w:t>Week 2 | September 2026</w:t>
      </w:r>
    </w:p>
    <w:p>
      <w:r>
        <w:br w:type="page"/>
      </w:r>
    </w:p>
    <w:p>
      <w:pPr>
        <w:pStyle w:val="Heading1"/>
        <w:pageBreakBefore/>
        <w:spacing w:before="0"/>
      </w:pPr>
      <w:r>
        <w:rPr>
          <w:b/>
          <w:sz w:val="32"/>
        </w:rPr>
        <w:t>Executive Summary</w:t>
      </w:r>
    </w:p>
    <w:p>
      <w:r>
        <w:t>This report presents a reproducible data acquisition and cleaning workflow for Indian automotive industry data. The practical dataset combines production, domestic sales and exports across five vehicle categories and six financial years. The workflow preserves raw data, performs structured quality checks, documents cleaning decisions, and produces a separate cleaned CSV for subsequent exploratory data analysis and predictive modelling.</w:t>
      </w:r>
    </w:p>
    <w:p>
      <w:pPr>
        <w:jc w:val="center"/>
      </w:pPr>
      <w:r>
        <w:drawing>
          <wp:inline xmlns:a="http://schemas.openxmlformats.org/drawingml/2006/main" xmlns:pic="http://schemas.openxmlformats.org/drawingml/2006/picture">
            <wp:extent cx="6217920" cy="1539261"/>
            <wp:docPr id="1" name="Picture 1"/>
            <wp:cNvGraphicFramePr>
              <a:graphicFrameLocks noChangeAspect="1"/>
            </wp:cNvGraphicFramePr>
            <a:graphic>
              <a:graphicData uri="http://schemas.openxmlformats.org/drawingml/2006/picture">
                <pic:pic>
                  <pic:nvPicPr>
                    <pic:cNvPr id="0" name="01_data_pipeline.png"/>
                    <pic:cNvPicPr/>
                  </pic:nvPicPr>
                  <pic:blipFill>
                    <a:blip r:embed="rId9"/>
                    <a:stretch>
                      <a:fillRect/>
                    </a:stretch>
                  </pic:blipFill>
                  <pic:spPr>
                    <a:xfrm>
                      <a:off x="0" y="0"/>
                      <a:ext cx="6217920" cy="1539261"/>
                    </a:xfrm>
                    <a:prstGeom prst="rect"/>
                  </pic:spPr>
                </pic:pic>
              </a:graphicData>
            </a:graphic>
          </wp:inline>
        </w:drawing>
      </w:r>
    </w:p>
    <w:p>
      <w:pPr>
        <w:jc w:val="center"/>
      </w:pPr>
      <w:r>
        <w:t>Figure 1. Reproducible automotive data pipeline.</w:t>
      </w:r>
    </w:p>
    <w:p>
      <w:pPr>
        <w:pStyle w:val="Heading1"/>
      </w:pPr>
      <w:r>
        <w:t>1. Task Objectives</w:t>
      </w:r>
    </w:p>
    <w:p>
      <w:pPr>
        <w:pStyle w:val="ListBullet"/>
      </w:pPr>
      <w:r>
        <w:t>Identify reliable public automotive data sources and justify their use.</w:t>
      </w:r>
    </w:p>
    <w:p>
      <w:pPr>
        <w:pStyle w:val="ListBullet"/>
      </w:pPr>
      <w:r>
        <w:t>Acquire and structure automotive data for Python processing.</w:t>
      </w:r>
    </w:p>
    <w:p>
      <w:pPr>
        <w:pStyle w:val="ListBullet"/>
      </w:pPr>
      <w:r>
        <w:t>Use Pandas and NumPy for inspection, transformation and validation.</w:t>
      </w:r>
    </w:p>
    <w:p>
      <w:pPr>
        <w:pStyle w:val="ListBullet"/>
      </w:pPr>
      <w:r>
        <w:t>Identify missing, duplicate, inconsistent and logically invalid records.</w:t>
      </w:r>
    </w:p>
    <w:p>
      <w:pPr>
        <w:pStyle w:val="ListBullet"/>
      </w:pPr>
      <w:r>
        <w:t>Apply transparent cleaning rules without inventing unsupported values.</w:t>
      </w:r>
    </w:p>
    <w:p>
      <w:pPr>
        <w:pStyle w:val="ListBullet"/>
      </w:pPr>
      <w:r>
        <w:t>Produce a clean, reusable dataset for EDA, visualization and future predictive modelling.</w:t>
      </w:r>
    </w:p>
    <w:p>
      <w:pPr>
        <w:pStyle w:val="Heading1"/>
      </w:pPr>
      <w:r>
        <w:t>2. Data Sources and Justification</w:t>
      </w:r>
    </w:p>
    <w:p>
      <w:r>
        <w:t>The primary source is the Society of Indian Automobile Manufacturers (SIAM) Industry Trends dataset. It provides production, domestic sales and export statistics by vehicle category and financial year. SIAM's annual reports and statistical services can be used for cross-checking and future expansion. Government EV/Vahan data is an additional source for future electric-mobility analysis.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1F4E78"/>
          </w:tcPr>
          <w:p>
            <w:r>
              <w:rPr>
                <w:b/>
                <w:sz w:val="17"/>
              </w:rPr>
              <w:t>Source</w:t>
            </w:r>
          </w:p>
        </w:tc>
        <w:tc>
          <w:tcPr>
            <w:tcW w:type="dxa" w:w="2520"/>
            <w:shd w:fill="1F4E78"/>
          </w:tcPr>
          <w:p>
            <w:r>
              <w:rPr>
                <w:b/>
                <w:sz w:val="17"/>
              </w:rPr>
              <w:t>Main data</w:t>
            </w:r>
          </w:p>
        </w:tc>
        <w:tc>
          <w:tcPr>
            <w:tcW w:type="dxa" w:w="2520"/>
            <w:shd w:fill="1F4E78"/>
          </w:tcPr>
          <w:p>
            <w:r>
              <w:rPr>
                <w:b/>
                <w:sz w:val="17"/>
              </w:rPr>
              <w:t>Why selected</w:t>
            </w:r>
          </w:p>
        </w:tc>
        <w:tc>
          <w:tcPr>
            <w:tcW w:type="dxa" w:w="2520"/>
            <w:shd w:fill="1F4E78"/>
          </w:tcPr>
          <w:p>
            <w:r>
              <w:rPr>
                <w:b/>
                <w:sz w:val="17"/>
              </w:rPr>
              <w:t>Role</w:t>
            </w:r>
          </w:p>
        </w:tc>
      </w:tr>
      <w:tr>
        <w:tc>
          <w:tcPr>
            <w:tcW w:type="dxa" w:w="2520"/>
          </w:tcPr>
          <w:p>
            <w:r>
              <w:rPr>
                <w:sz w:val="16"/>
              </w:rPr>
              <w:t>SIAM – Industry Trends</w:t>
            </w:r>
          </w:p>
        </w:tc>
        <w:tc>
          <w:tcPr>
            <w:tcW w:type="dxa" w:w="2520"/>
          </w:tcPr>
          <w:p>
            <w:r>
              <w:rPr>
                <w:sz w:val="16"/>
              </w:rPr>
              <w:t>Production, domestic sales, exports</w:t>
            </w:r>
          </w:p>
        </w:tc>
        <w:tc>
          <w:tcPr>
            <w:tcW w:type="dxa" w:w="2520"/>
          </w:tcPr>
          <w:p>
            <w:r>
              <w:rPr>
                <w:sz w:val="16"/>
              </w:rPr>
              <w:t>Official industry-level statistics</w:t>
            </w:r>
          </w:p>
        </w:tc>
        <w:tc>
          <w:tcPr>
            <w:tcW w:type="dxa" w:w="2520"/>
          </w:tcPr>
          <w:p>
            <w:r>
              <w:rPr>
                <w:sz w:val="16"/>
              </w:rPr>
              <w:t>Primary</w:t>
            </w:r>
          </w:p>
        </w:tc>
      </w:tr>
      <w:tr>
        <w:tc>
          <w:tcPr>
            <w:tcW w:type="dxa" w:w="2520"/>
          </w:tcPr>
          <w:p>
            <w:r>
              <w:rPr>
                <w:sz w:val="16"/>
              </w:rPr>
              <w:t>SIAM – Annual Reports</w:t>
            </w:r>
          </w:p>
        </w:tc>
        <w:tc>
          <w:tcPr>
            <w:tcW w:type="dxa" w:w="2520"/>
          </w:tcPr>
          <w:p>
            <w:r>
              <w:rPr>
                <w:sz w:val="16"/>
              </w:rPr>
              <w:t>Annual performance and sector context</w:t>
            </w:r>
          </w:p>
        </w:tc>
        <w:tc>
          <w:tcPr>
            <w:tcW w:type="dxa" w:w="2520"/>
          </w:tcPr>
          <w:p>
            <w:r>
              <w:rPr>
                <w:sz w:val="16"/>
              </w:rPr>
              <w:t>Official published reports</w:t>
            </w:r>
          </w:p>
        </w:tc>
        <w:tc>
          <w:tcPr>
            <w:tcW w:type="dxa" w:w="2520"/>
          </w:tcPr>
          <w:p>
            <w:r>
              <w:rPr>
                <w:sz w:val="16"/>
              </w:rPr>
              <w:t>Validation</w:t>
            </w:r>
          </w:p>
        </w:tc>
      </w:tr>
      <w:tr>
        <w:tc>
          <w:tcPr>
            <w:tcW w:type="dxa" w:w="2520"/>
          </w:tcPr>
          <w:p>
            <w:r>
              <w:rPr>
                <w:sz w:val="16"/>
              </w:rPr>
              <w:t>SIAM – Statistical Services</w:t>
            </w:r>
          </w:p>
        </w:tc>
        <w:tc>
          <w:tcPr>
            <w:tcW w:type="dxa" w:w="2520"/>
          </w:tcPr>
          <w:p>
            <w:r>
              <w:rPr>
                <w:sz w:val="16"/>
              </w:rPr>
              <w:t>Detailed automotive statistics</w:t>
            </w:r>
          </w:p>
        </w:tc>
        <w:tc>
          <w:tcPr>
            <w:tcW w:type="dxa" w:w="2520"/>
          </w:tcPr>
          <w:p>
            <w:r>
              <w:rPr>
                <w:sz w:val="16"/>
              </w:rPr>
              <w:t>Official statistical service</w:t>
            </w:r>
          </w:p>
        </w:tc>
        <w:tc>
          <w:tcPr>
            <w:tcW w:type="dxa" w:w="2520"/>
          </w:tcPr>
          <w:p>
            <w:r>
              <w:rPr>
                <w:sz w:val="16"/>
              </w:rPr>
              <w:t>Future expansion</w:t>
            </w:r>
          </w:p>
        </w:tc>
      </w:tr>
      <w:tr>
        <w:tc>
          <w:tcPr>
            <w:tcW w:type="dxa" w:w="2520"/>
          </w:tcPr>
          <w:p>
            <w:r>
              <w:rPr>
                <w:sz w:val="16"/>
              </w:rPr>
              <w:t>Ministry of Heavy Industries / Vahan</w:t>
            </w:r>
          </w:p>
        </w:tc>
        <w:tc>
          <w:tcPr>
            <w:tcW w:type="dxa" w:w="2520"/>
          </w:tcPr>
          <w:p>
            <w:r>
              <w:rPr>
                <w:sz w:val="16"/>
              </w:rPr>
              <w:t>EV registrations</w:t>
            </w:r>
          </w:p>
        </w:tc>
        <w:tc>
          <w:tcPr>
            <w:tcW w:type="dxa" w:w="2520"/>
          </w:tcPr>
          <w:p>
            <w:r>
              <w:rPr>
                <w:sz w:val="16"/>
              </w:rPr>
              <w:t>Government data</w:t>
            </w:r>
          </w:p>
        </w:tc>
        <w:tc>
          <w:tcPr>
            <w:tcW w:type="dxa" w:w="2520"/>
          </w:tcPr>
          <w:p>
            <w:r>
              <w:rPr>
                <w:sz w:val="16"/>
              </w:rPr>
              <w:t>Future EV module</w:t>
            </w:r>
          </w:p>
        </w:tc>
      </w:tr>
    </w:tbl>
    <w:p>
      <w:pPr>
        <w:pStyle w:val="Heading1"/>
      </w:pPr>
      <w:r>
        <w:t>3. Data Acquisition Process</w:t>
      </w:r>
    </w:p>
    <w:p>
      <w:pPr>
        <w:pStyle w:val="ListBullet"/>
      </w:pPr>
      <w:r>
        <w:t>Source discovery: identify an authoritative public source rather than relying on an unverified third-party dataset.</w:t>
      </w:r>
    </w:p>
    <w:p>
      <w:pPr>
        <w:pStyle w:val="ListBullet"/>
      </w:pPr>
      <w:r>
        <w:t>Scope definition: select FY2020-21 to FY2025-26 and the major vehicle categories used in the Week 1 project.</w:t>
      </w:r>
    </w:p>
    <w:p>
      <w:pPr>
        <w:pStyle w:val="ListBullet"/>
      </w:pPr>
      <w:r>
        <w:t>Raw capture: preserve values exactly as acquired before applying transformations.</w:t>
      </w:r>
    </w:p>
    <w:p>
      <w:pPr>
        <w:pStyle w:val="ListBullet"/>
      </w:pPr>
      <w:r>
        <w:t>Structuring: reshape the information into four consistent fields: Financial_Year, Vehicle_Category, Metric and Units.</w:t>
      </w:r>
    </w:p>
    <w:p>
      <w:pPr>
        <w:pStyle w:val="ListBullet"/>
      </w:pPr>
      <w:r>
        <w:t>Storage: save the original data as a raw CSV and the processed data as a separate cleaned CSV.</w:t>
      </w:r>
    </w:p>
    <w:p>
      <w:pPr>
        <w:pStyle w:val="ListBullet"/>
      </w:pPr>
      <w:r>
        <w:t>Traceability: record the source, date/scope and each non-obvious cleaning decision.</w:t>
      </w:r>
    </w:p>
    <w:p>
      <w:pPr>
        <w:pStyle w:val="Heading1"/>
      </w:pPr>
      <w:r>
        <w:t>4. Python Environment and Libraries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F4E78"/>
          </w:tcPr>
          <w:p>
            <w:r>
              <w:rPr>
                <w:b/>
                <w:sz w:val="17"/>
              </w:rPr>
              <w:t>Tool</w:t>
            </w:r>
          </w:p>
        </w:tc>
        <w:tc>
          <w:tcPr>
            <w:tcW w:type="dxa" w:w="3360"/>
            <w:shd w:fill="1F4E78"/>
          </w:tcPr>
          <w:p>
            <w:r>
              <w:rPr>
                <w:b/>
                <w:sz w:val="17"/>
              </w:rPr>
              <w:t>Role</w:t>
            </w:r>
          </w:p>
        </w:tc>
        <w:tc>
          <w:tcPr>
            <w:tcW w:type="dxa" w:w="3360"/>
            <w:shd w:fill="1F4E78"/>
          </w:tcPr>
          <w:p>
            <w:r>
              <w:rPr>
                <w:b/>
                <w:sz w:val="17"/>
              </w:rPr>
              <w:t>Practical use</w:t>
            </w:r>
          </w:p>
        </w:tc>
      </w:tr>
      <w:tr>
        <w:tc>
          <w:tcPr>
            <w:tcW w:type="dxa" w:w="3360"/>
          </w:tcPr>
          <w:p>
            <w:r>
              <w:rPr>
                <w:sz w:val="16"/>
              </w:rPr>
              <w:t>Python</w:t>
            </w:r>
          </w:p>
        </w:tc>
        <w:tc>
          <w:tcPr>
            <w:tcW w:type="dxa" w:w="3360"/>
          </w:tcPr>
          <w:p>
            <w:r>
              <w:rPr>
                <w:sz w:val="16"/>
              </w:rPr>
              <w:t>Core programming and automation</w:t>
            </w:r>
          </w:p>
        </w:tc>
        <w:tc>
          <w:tcPr>
            <w:tcW w:type="dxa" w:w="3360"/>
          </w:tcPr>
          <w:p>
            <w:r>
              <w:rPr>
                <w:sz w:val="16"/>
              </w:rPr>
              <w:t>Loops, functions, conditions</w:t>
            </w:r>
          </w:p>
        </w:tc>
      </w:tr>
      <w:tr>
        <w:tc>
          <w:tcPr>
            <w:tcW w:type="dxa" w:w="3360"/>
          </w:tcPr>
          <w:p>
            <w:r>
              <w:rPr>
                <w:sz w:val="16"/>
              </w:rPr>
              <w:t>Pandas</w:t>
            </w:r>
          </w:p>
        </w:tc>
        <w:tc>
          <w:tcPr>
            <w:tcW w:type="dxa" w:w="3360"/>
          </w:tcPr>
          <w:p>
            <w:r>
              <w:rPr>
                <w:sz w:val="16"/>
              </w:rPr>
              <w:t>Tabular data handling</w:t>
            </w:r>
          </w:p>
        </w:tc>
        <w:tc>
          <w:tcPr>
            <w:tcW w:type="dxa" w:w="3360"/>
          </w:tcPr>
          <w:p>
            <w:r>
              <w:rPr>
                <w:sz w:val="16"/>
              </w:rPr>
              <w:t>DataFrame, read_csv, filtering, grouping</w:t>
            </w:r>
          </w:p>
        </w:tc>
      </w:tr>
      <w:tr>
        <w:tc>
          <w:tcPr>
            <w:tcW w:type="dxa" w:w="3360"/>
          </w:tcPr>
          <w:p>
            <w:r>
              <w:rPr>
                <w:sz w:val="16"/>
              </w:rPr>
              <w:t>NumPy</w:t>
            </w:r>
          </w:p>
        </w:tc>
        <w:tc>
          <w:tcPr>
            <w:tcW w:type="dxa" w:w="3360"/>
          </w:tcPr>
          <w:p>
            <w:r>
              <w:rPr>
                <w:sz w:val="16"/>
              </w:rPr>
              <w:t>Numerical processing</w:t>
            </w:r>
          </w:p>
        </w:tc>
        <w:tc>
          <w:tcPr>
            <w:tcW w:type="dxa" w:w="3360"/>
          </w:tcPr>
          <w:p>
            <w:r>
              <w:rPr>
                <w:sz w:val="16"/>
              </w:rPr>
              <w:t>np.nan, numeric conditions, calculations</w:t>
            </w:r>
          </w:p>
        </w:tc>
      </w:tr>
      <w:tr>
        <w:tc>
          <w:tcPr>
            <w:tcW w:type="dxa" w:w="3360"/>
          </w:tcPr>
          <w:p>
            <w:r>
              <w:rPr>
                <w:sz w:val="16"/>
              </w:rPr>
              <w:t>Matplotlib</w:t>
            </w:r>
          </w:p>
        </w:tc>
        <w:tc>
          <w:tcPr>
            <w:tcW w:type="dxa" w:w="3360"/>
          </w:tcPr>
          <w:p>
            <w:r>
              <w:rPr>
                <w:sz w:val="16"/>
              </w:rPr>
              <w:t>Quality and trend visualization</w:t>
            </w:r>
          </w:p>
        </w:tc>
        <w:tc>
          <w:tcPr>
            <w:tcW w:type="dxa" w:w="3360"/>
          </w:tcPr>
          <w:p>
            <w:r>
              <w:rPr>
                <w:sz w:val="16"/>
              </w:rPr>
              <w:t>bar, line charts</w:t>
            </w:r>
          </w:p>
        </w:tc>
      </w:tr>
      <w:tr>
        <w:tc>
          <w:tcPr>
            <w:tcW w:type="dxa" w:w="3360"/>
          </w:tcPr>
          <w:p>
            <w:r>
              <w:rPr>
                <w:sz w:val="16"/>
              </w:rPr>
              <w:t>Seaborn</w:t>
            </w:r>
          </w:p>
        </w:tc>
        <w:tc>
          <w:tcPr>
            <w:tcW w:type="dxa" w:w="3360"/>
          </w:tcPr>
          <w:p>
            <w:r>
              <w:rPr>
                <w:sz w:val="16"/>
              </w:rPr>
              <w:t>Future statistical visualization</w:t>
            </w:r>
          </w:p>
        </w:tc>
        <w:tc>
          <w:tcPr>
            <w:tcW w:type="dxa" w:w="3360"/>
          </w:tcPr>
          <w:p>
            <w:r>
              <w:rPr>
                <w:sz w:val="16"/>
              </w:rPr>
              <w:t>distributions/correlations</w:t>
            </w:r>
          </w:p>
        </w:tc>
      </w:tr>
      <w:tr>
        <w:tc>
          <w:tcPr>
            <w:tcW w:type="dxa" w:w="3360"/>
          </w:tcPr>
          <w:p>
            <w:r>
              <w:rPr>
                <w:sz w:val="16"/>
              </w:rPr>
              <w:t>Jupyter Notebook</w:t>
            </w:r>
          </w:p>
        </w:tc>
        <w:tc>
          <w:tcPr>
            <w:tcW w:type="dxa" w:w="3360"/>
          </w:tcPr>
          <w:p>
            <w:r>
              <w:rPr>
                <w:sz w:val="16"/>
              </w:rPr>
              <w:t>Interactive reproducible analysis</w:t>
            </w:r>
          </w:p>
        </w:tc>
        <w:tc>
          <w:tcPr>
            <w:tcW w:type="dxa" w:w="3360"/>
          </w:tcPr>
          <w:p>
            <w:r>
              <w:rPr>
                <w:sz w:val="16"/>
              </w:rPr>
              <w:t>cells, outputs and documentation</w:t>
            </w:r>
          </w:p>
        </w:tc>
      </w:tr>
    </w:tbl>
    <w:p>
      <w:pPr>
        <w:pStyle w:val="Heading1"/>
      </w:pPr>
      <w:r>
        <w:t>5. Raw Dataset Structure</w:t>
      </w:r>
    </w:p>
    <w:p>
      <w:r>
        <w:t>The working dataset contains 90 records and 4 columns. It represents 3 metrics × 5 vehicle categories × 6 financial years.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1F4E78"/>
          </w:tcPr>
          <w:p>
            <w:r>
              <w:rPr>
                <w:b/>
                <w:sz w:val="17"/>
              </w:rPr>
              <w:t>Field</w:t>
            </w:r>
          </w:p>
        </w:tc>
        <w:tc>
          <w:tcPr>
            <w:tcW w:type="dxa" w:w="2520"/>
            <w:shd w:fill="1F4E78"/>
          </w:tcPr>
          <w:p>
            <w:r>
              <w:rPr>
                <w:b/>
                <w:sz w:val="17"/>
              </w:rPr>
              <w:t>Data type</w:t>
            </w:r>
          </w:p>
        </w:tc>
        <w:tc>
          <w:tcPr>
            <w:tcW w:type="dxa" w:w="2520"/>
            <w:shd w:fill="1F4E78"/>
          </w:tcPr>
          <w:p>
            <w:r>
              <w:rPr>
                <w:b/>
                <w:sz w:val="17"/>
              </w:rPr>
              <w:t>Example</w:t>
            </w:r>
          </w:p>
        </w:tc>
        <w:tc>
          <w:tcPr>
            <w:tcW w:type="dxa" w:w="2520"/>
            <w:shd w:fill="1F4E78"/>
          </w:tcPr>
          <w:p>
            <w:r>
              <w:rPr>
                <w:b/>
                <w:sz w:val="17"/>
              </w:rPr>
              <w:t>Meaning</w:t>
            </w:r>
          </w:p>
        </w:tc>
      </w:tr>
      <w:tr>
        <w:tc>
          <w:tcPr>
            <w:tcW w:type="dxa" w:w="2520"/>
          </w:tcPr>
          <w:p>
            <w:r>
              <w:rPr>
                <w:sz w:val="16"/>
              </w:rPr>
              <w:t>Financial_Year</w:t>
            </w:r>
          </w:p>
        </w:tc>
        <w:tc>
          <w:tcPr>
            <w:tcW w:type="dxa" w:w="2520"/>
          </w:tcPr>
          <w:p>
            <w:r>
              <w:rPr>
                <w:sz w:val="16"/>
              </w:rPr>
              <w:t>Text</w:t>
            </w:r>
          </w:p>
        </w:tc>
        <w:tc>
          <w:tcPr>
            <w:tcW w:type="dxa" w:w="2520"/>
          </w:tcPr>
          <w:p>
            <w:r>
              <w:rPr>
                <w:sz w:val="16"/>
              </w:rPr>
              <w:t>FY2020-21</w:t>
            </w:r>
          </w:p>
        </w:tc>
        <w:tc>
          <w:tcPr>
            <w:tcW w:type="dxa" w:w="2520"/>
          </w:tcPr>
          <w:p>
            <w:r>
              <w:rPr>
                <w:sz w:val="16"/>
              </w:rPr>
              <w:t>Time period</w:t>
            </w:r>
          </w:p>
        </w:tc>
      </w:tr>
      <w:tr>
        <w:tc>
          <w:tcPr>
            <w:tcW w:type="dxa" w:w="2520"/>
          </w:tcPr>
          <w:p>
            <w:r>
              <w:rPr>
                <w:sz w:val="16"/>
              </w:rPr>
              <w:t>Vehicle_Category</w:t>
            </w:r>
          </w:p>
        </w:tc>
        <w:tc>
          <w:tcPr>
            <w:tcW w:type="dxa" w:w="2520"/>
          </w:tcPr>
          <w:p>
            <w:r>
              <w:rPr>
                <w:sz w:val="16"/>
              </w:rPr>
              <w:t>Text</w:t>
            </w:r>
          </w:p>
        </w:tc>
        <w:tc>
          <w:tcPr>
            <w:tcW w:type="dxa" w:w="2520"/>
          </w:tcPr>
          <w:p>
            <w:r>
              <w:rPr>
                <w:sz w:val="16"/>
              </w:rPr>
              <w:t>Passenger Vehicles</w:t>
            </w:r>
          </w:p>
        </w:tc>
        <w:tc>
          <w:tcPr>
            <w:tcW w:type="dxa" w:w="2520"/>
          </w:tcPr>
          <w:p>
            <w:r>
              <w:rPr>
                <w:sz w:val="16"/>
              </w:rPr>
              <w:t>Automotive segment</w:t>
            </w:r>
          </w:p>
        </w:tc>
      </w:tr>
      <w:tr>
        <w:tc>
          <w:tcPr>
            <w:tcW w:type="dxa" w:w="2520"/>
          </w:tcPr>
          <w:p>
            <w:r>
              <w:rPr>
                <w:sz w:val="16"/>
              </w:rPr>
              <w:t>Metric</w:t>
            </w:r>
          </w:p>
        </w:tc>
        <w:tc>
          <w:tcPr>
            <w:tcW w:type="dxa" w:w="2520"/>
          </w:tcPr>
          <w:p>
            <w:r>
              <w:rPr>
                <w:sz w:val="16"/>
              </w:rPr>
              <w:t>Text</w:t>
            </w:r>
          </w:p>
        </w:tc>
        <w:tc>
          <w:tcPr>
            <w:tcW w:type="dxa" w:w="2520"/>
          </w:tcPr>
          <w:p>
            <w:r>
              <w:rPr>
                <w:sz w:val="16"/>
              </w:rPr>
              <w:t>Production</w:t>
            </w:r>
          </w:p>
        </w:tc>
        <w:tc>
          <w:tcPr>
            <w:tcW w:type="dxa" w:w="2520"/>
          </w:tcPr>
          <w:p>
            <w:r>
              <w:rPr>
                <w:sz w:val="16"/>
              </w:rPr>
              <w:t>Measure</w:t>
            </w:r>
          </w:p>
        </w:tc>
      </w:tr>
      <w:tr>
        <w:tc>
          <w:tcPr>
            <w:tcW w:type="dxa" w:w="2520"/>
          </w:tcPr>
          <w:p>
            <w:r>
              <w:rPr>
                <w:sz w:val="16"/>
              </w:rPr>
              <w:t>Units</w:t>
            </w:r>
          </w:p>
        </w:tc>
        <w:tc>
          <w:tcPr>
            <w:tcW w:type="dxa" w:w="2520"/>
          </w:tcPr>
          <w:p>
            <w:r>
              <w:rPr>
                <w:sz w:val="16"/>
              </w:rPr>
              <w:t>Numeric</w:t>
            </w:r>
          </w:p>
        </w:tc>
        <w:tc>
          <w:tcPr>
            <w:tcW w:type="dxa" w:w="2520"/>
          </w:tcPr>
          <w:p>
            <w:r>
              <w:rPr>
                <w:sz w:val="16"/>
              </w:rPr>
              <w:t>3062280</w:t>
            </w:r>
          </w:p>
        </w:tc>
        <w:tc>
          <w:tcPr>
            <w:tcW w:type="dxa" w:w="2520"/>
          </w:tcPr>
          <w:p>
            <w:r>
              <w:rPr>
                <w:sz w:val="16"/>
              </w:rPr>
              <w:t>Number of vehicles</w:t>
            </w:r>
          </w:p>
        </w:tc>
      </w:tr>
    </w:tbl>
    <w:p>
      <w:r>
        <w:t>Sample raw records: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1F4E78"/>
          </w:tcPr>
          <w:p>
            <w:r>
              <w:rPr>
                <w:b/>
                <w:sz w:val="17"/>
              </w:rPr>
              <w:t>Financial_Year</w:t>
            </w:r>
          </w:p>
        </w:tc>
        <w:tc>
          <w:tcPr>
            <w:tcW w:type="dxa" w:w="2520"/>
            <w:shd w:fill="1F4E78"/>
          </w:tcPr>
          <w:p>
            <w:r>
              <w:rPr>
                <w:b/>
                <w:sz w:val="17"/>
              </w:rPr>
              <w:t>Vehicle_Category</w:t>
            </w:r>
          </w:p>
        </w:tc>
        <w:tc>
          <w:tcPr>
            <w:tcW w:type="dxa" w:w="2520"/>
            <w:shd w:fill="1F4E78"/>
          </w:tcPr>
          <w:p>
            <w:r>
              <w:rPr>
                <w:b/>
                <w:sz w:val="17"/>
              </w:rPr>
              <w:t>Metric</w:t>
            </w:r>
          </w:p>
        </w:tc>
        <w:tc>
          <w:tcPr>
            <w:tcW w:type="dxa" w:w="2520"/>
            <w:shd w:fill="1F4E78"/>
          </w:tcPr>
          <w:p>
            <w:r>
              <w:rPr>
                <w:b/>
                <w:sz w:val="17"/>
              </w:rPr>
              <w:t>Units</w:t>
            </w:r>
          </w:p>
        </w:tc>
      </w:tr>
      <w:tr>
        <w:tc>
          <w:tcPr>
            <w:tcW w:type="dxa" w:w="2520"/>
          </w:tcPr>
          <w:p>
            <w:r>
              <w:rPr>
                <w:sz w:val="16"/>
              </w:rPr>
              <w:t>2020-21</w:t>
            </w:r>
          </w:p>
        </w:tc>
        <w:tc>
          <w:tcPr>
            <w:tcW w:type="dxa" w:w="2520"/>
          </w:tcPr>
          <w:p>
            <w:r>
              <w:rPr>
                <w:sz w:val="16"/>
              </w:rPr>
              <w:t>Passenger Vehicles</w:t>
            </w:r>
          </w:p>
        </w:tc>
        <w:tc>
          <w:tcPr>
            <w:tcW w:type="dxa" w:w="2520"/>
          </w:tcPr>
          <w:p>
            <w:r>
              <w:rPr>
                <w:sz w:val="16"/>
              </w:rPr>
              <w:t>Production</w:t>
            </w:r>
          </w:p>
        </w:tc>
        <w:tc>
          <w:tcPr>
            <w:tcW w:type="dxa" w:w="2520"/>
          </w:tcPr>
          <w:p>
            <w:r>
              <w:rPr>
                <w:sz w:val="16"/>
              </w:rPr>
              <w:t>3062280</w:t>
            </w:r>
          </w:p>
        </w:tc>
      </w:tr>
      <w:tr>
        <w:tc>
          <w:tcPr>
            <w:tcW w:type="dxa" w:w="2520"/>
          </w:tcPr>
          <w:p>
            <w:r>
              <w:rPr>
                <w:sz w:val="16"/>
              </w:rPr>
              <w:t>2021-22</w:t>
            </w:r>
          </w:p>
        </w:tc>
        <w:tc>
          <w:tcPr>
            <w:tcW w:type="dxa" w:w="2520"/>
          </w:tcPr>
          <w:p>
            <w:r>
              <w:rPr>
                <w:sz w:val="16"/>
              </w:rPr>
              <w:t>Passenger Vehicles</w:t>
            </w:r>
          </w:p>
        </w:tc>
        <w:tc>
          <w:tcPr>
            <w:tcW w:type="dxa" w:w="2520"/>
          </w:tcPr>
          <w:p>
            <w:r>
              <w:rPr>
                <w:sz w:val="16"/>
              </w:rPr>
              <w:t>Production</w:t>
            </w:r>
          </w:p>
        </w:tc>
        <w:tc>
          <w:tcPr>
            <w:tcW w:type="dxa" w:w="2520"/>
          </w:tcPr>
          <w:p>
            <w:r>
              <w:rPr>
                <w:sz w:val="16"/>
              </w:rPr>
              <w:t>3650698</w:t>
            </w:r>
          </w:p>
        </w:tc>
      </w:tr>
      <w:tr>
        <w:tc>
          <w:tcPr>
            <w:tcW w:type="dxa" w:w="2520"/>
          </w:tcPr>
          <w:p>
            <w:r>
              <w:rPr>
                <w:sz w:val="16"/>
              </w:rPr>
              <w:t>2022-23</w:t>
            </w:r>
          </w:p>
        </w:tc>
        <w:tc>
          <w:tcPr>
            <w:tcW w:type="dxa" w:w="2520"/>
          </w:tcPr>
          <w:p>
            <w:r>
              <w:rPr>
                <w:sz w:val="16"/>
              </w:rPr>
              <w:t>Passenger Vehicles</w:t>
            </w:r>
          </w:p>
        </w:tc>
        <w:tc>
          <w:tcPr>
            <w:tcW w:type="dxa" w:w="2520"/>
          </w:tcPr>
          <w:p>
            <w:r>
              <w:rPr>
                <w:sz w:val="16"/>
              </w:rPr>
              <w:t>Production</w:t>
            </w:r>
          </w:p>
        </w:tc>
        <w:tc>
          <w:tcPr>
            <w:tcW w:type="dxa" w:w="2520"/>
          </w:tcPr>
          <w:p>
            <w:r>
              <w:rPr>
                <w:sz w:val="16"/>
              </w:rPr>
              <w:t>4587116</w:t>
            </w:r>
          </w:p>
        </w:tc>
      </w:tr>
      <w:tr>
        <w:tc>
          <w:tcPr>
            <w:tcW w:type="dxa" w:w="2520"/>
          </w:tcPr>
          <w:p>
            <w:r>
              <w:rPr>
                <w:sz w:val="16"/>
              </w:rPr>
              <w:t>2023-24</w:t>
            </w:r>
          </w:p>
        </w:tc>
        <w:tc>
          <w:tcPr>
            <w:tcW w:type="dxa" w:w="2520"/>
          </w:tcPr>
          <w:p>
            <w:r>
              <w:rPr>
                <w:sz w:val="16"/>
              </w:rPr>
              <w:t>Passenger Vehicles</w:t>
            </w:r>
          </w:p>
        </w:tc>
        <w:tc>
          <w:tcPr>
            <w:tcW w:type="dxa" w:w="2520"/>
          </w:tcPr>
          <w:p>
            <w:r>
              <w:rPr>
                <w:sz w:val="16"/>
              </w:rPr>
              <w:t>Production</w:t>
            </w:r>
          </w:p>
        </w:tc>
        <w:tc>
          <w:tcPr>
            <w:tcW w:type="dxa" w:w="2520"/>
          </w:tcPr>
          <w:p>
            <w:r>
              <w:rPr>
                <w:sz w:val="16"/>
              </w:rPr>
              <w:t>4901840</w:t>
            </w:r>
          </w:p>
        </w:tc>
      </w:tr>
      <w:tr>
        <w:tc>
          <w:tcPr>
            <w:tcW w:type="dxa" w:w="2520"/>
          </w:tcPr>
          <w:p>
            <w:r>
              <w:rPr>
                <w:sz w:val="16"/>
              </w:rPr>
              <w:t>2024-25</w:t>
            </w:r>
          </w:p>
        </w:tc>
        <w:tc>
          <w:tcPr>
            <w:tcW w:type="dxa" w:w="2520"/>
          </w:tcPr>
          <w:p>
            <w:r>
              <w:rPr>
                <w:sz w:val="16"/>
              </w:rPr>
              <w:t>Passenger Vehicles</w:t>
            </w:r>
          </w:p>
        </w:tc>
        <w:tc>
          <w:tcPr>
            <w:tcW w:type="dxa" w:w="2520"/>
          </w:tcPr>
          <w:p>
            <w:r>
              <w:rPr>
                <w:sz w:val="16"/>
              </w:rPr>
              <w:t>Production</w:t>
            </w:r>
          </w:p>
        </w:tc>
        <w:tc>
          <w:tcPr>
            <w:tcW w:type="dxa" w:w="2520"/>
          </w:tcPr>
          <w:p>
            <w:r>
              <w:rPr>
                <w:sz w:val="16"/>
              </w:rPr>
              <w:t>5061164</w:t>
            </w:r>
          </w:p>
        </w:tc>
      </w:tr>
      <w:tr>
        <w:tc>
          <w:tcPr>
            <w:tcW w:type="dxa" w:w="2520"/>
          </w:tcPr>
          <w:p>
            <w:r>
              <w:rPr>
                <w:sz w:val="16"/>
              </w:rPr>
              <w:t>2025-26</w:t>
            </w:r>
          </w:p>
        </w:tc>
        <w:tc>
          <w:tcPr>
            <w:tcW w:type="dxa" w:w="2520"/>
          </w:tcPr>
          <w:p>
            <w:r>
              <w:rPr>
                <w:sz w:val="16"/>
              </w:rPr>
              <w:t>Passenger Vehicles</w:t>
            </w:r>
          </w:p>
        </w:tc>
        <w:tc>
          <w:tcPr>
            <w:tcW w:type="dxa" w:w="2520"/>
          </w:tcPr>
          <w:p>
            <w:r>
              <w:rPr>
                <w:sz w:val="16"/>
              </w:rPr>
              <w:t>Production</w:t>
            </w:r>
          </w:p>
        </w:tc>
        <w:tc>
          <w:tcPr>
            <w:tcW w:type="dxa" w:w="2520"/>
          </w:tcPr>
          <w:p>
            <w:r>
              <w:rPr>
                <w:sz w:val="16"/>
              </w:rPr>
              <w:t>5539115</w:t>
            </w:r>
          </w:p>
        </w:tc>
      </w:tr>
      <w:tr>
        <w:tc>
          <w:tcPr>
            <w:tcW w:type="dxa" w:w="2520"/>
          </w:tcPr>
          <w:p>
            <w:r>
              <w:rPr>
                <w:sz w:val="16"/>
              </w:rPr>
              <w:t>2020-21</w:t>
            </w:r>
          </w:p>
        </w:tc>
        <w:tc>
          <w:tcPr>
            <w:tcW w:type="dxa" w:w="2520"/>
          </w:tcPr>
          <w:p>
            <w:r>
              <w:rPr>
                <w:sz w:val="16"/>
              </w:rPr>
              <w:t>Commercial Vehicles</w:t>
            </w:r>
          </w:p>
        </w:tc>
        <w:tc>
          <w:tcPr>
            <w:tcW w:type="dxa" w:w="2520"/>
          </w:tcPr>
          <w:p>
            <w:r>
              <w:rPr>
                <w:sz w:val="16"/>
              </w:rPr>
              <w:t>Production</w:t>
            </w:r>
          </w:p>
        </w:tc>
        <w:tc>
          <w:tcPr>
            <w:tcW w:type="dxa" w:w="2520"/>
          </w:tcPr>
          <w:p>
            <w:r>
              <w:rPr>
                <w:sz w:val="16"/>
              </w:rPr>
              <w:t>624939</w:t>
            </w:r>
          </w:p>
        </w:tc>
      </w:tr>
      <w:tr>
        <w:tc>
          <w:tcPr>
            <w:tcW w:type="dxa" w:w="2520"/>
          </w:tcPr>
          <w:p>
            <w:r>
              <w:rPr>
                <w:sz w:val="16"/>
              </w:rPr>
              <w:t>2021-22</w:t>
            </w:r>
          </w:p>
        </w:tc>
        <w:tc>
          <w:tcPr>
            <w:tcW w:type="dxa" w:w="2520"/>
          </w:tcPr>
          <w:p>
            <w:r>
              <w:rPr>
                <w:sz w:val="16"/>
              </w:rPr>
              <w:t>Commercial Vehicles</w:t>
            </w:r>
          </w:p>
        </w:tc>
        <w:tc>
          <w:tcPr>
            <w:tcW w:type="dxa" w:w="2520"/>
          </w:tcPr>
          <w:p>
            <w:r>
              <w:rPr>
                <w:sz w:val="16"/>
              </w:rPr>
              <w:t>Production</w:t>
            </w:r>
          </w:p>
        </w:tc>
        <w:tc>
          <w:tcPr>
            <w:tcW w:type="dxa" w:w="2520"/>
          </w:tcPr>
          <w:p>
            <w:r>
              <w:rPr>
                <w:sz w:val="16"/>
              </w:rPr>
              <w:t>805527</w:t>
            </w:r>
          </w:p>
        </w:tc>
      </w:tr>
      <w:tr>
        <w:tc>
          <w:tcPr>
            <w:tcW w:type="dxa" w:w="2520"/>
          </w:tcPr>
          <w:p>
            <w:r>
              <w:rPr>
                <w:sz w:val="16"/>
              </w:rPr>
              <w:t>2022-23</w:t>
            </w:r>
          </w:p>
        </w:tc>
        <w:tc>
          <w:tcPr>
            <w:tcW w:type="dxa" w:w="2520"/>
          </w:tcPr>
          <w:p>
            <w:r>
              <w:rPr>
                <w:sz w:val="16"/>
              </w:rPr>
              <w:t>Commercial Vehicles</w:t>
            </w:r>
          </w:p>
        </w:tc>
        <w:tc>
          <w:tcPr>
            <w:tcW w:type="dxa" w:w="2520"/>
          </w:tcPr>
          <w:p>
            <w:r>
              <w:rPr>
                <w:sz w:val="16"/>
              </w:rPr>
              <w:t>Production</w:t>
            </w:r>
          </w:p>
        </w:tc>
        <w:tc>
          <w:tcPr>
            <w:tcW w:type="dxa" w:w="2520"/>
          </w:tcPr>
          <w:p>
            <w:r>
              <w:rPr>
                <w:sz w:val="16"/>
              </w:rPr>
              <w:t>1035626</w:t>
            </w:r>
          </w:p>
        </w:tc>
      </w:tr>
      <w:tr>
        <w:tc>
          <w:tcPr>
            <w:tcW w:type="dxa" w:w="2520"/>
          </w:tcPr>
          <w:p>
            <w:r>
              <w:rPr>
                <w:sz w:val="16"/>
              </w:rPr>
              <w:t>2023-24</w:t>
            </w:r>
          </w:p>
        </w:tc>
        <w:tc>
          <w:tcPr>
            <w:tcW w:type="dxa" w:w="2520"/>
          </w:tcPr>
          <w:p>
            <w:r>
              <w:rPr>
                <w:sz w:val="16"/>
              </w:rPr>
              <w:t>Commercial Vehicles</w:t>
            </w:r>
          </w:p>
        </w:tc>
        <w:tc>
          <w:tcPr>
            <w:tcW w:type="dxa" w:w="2520"/>
          </w:tcPr>
          <w:p>
            <w:r>
              <w:rPr>
                <w:sz w:val="16"/>
              </w:rPr>
              <w:t>Production</w:t>
            </w:r>
          </w:p>
        </w:tc>
        <w:tc>
          <w:tcPr>
            <w:tcW w:type="dxa" w:w="2520"/>
          </w:tcPr>
          <w:p>
            <w:r>
              <w:rPr>
                <w:sz w:val="16"/>
              </w:rPr>
              <w:t>1067504</w:t>
            </w:r>
          </w:p>
        </w:tc>
      </w:tr>
      <w:tr>
        <w:tc>
          <w:tcPr>
            <w:tcW w:type="dxa" w:w="2520"/>
          </w:tcPr>
          <w:p>
            <w:r>
              <w:rPr>
                <w:sz w:val="16"/>
              </w:rPr>
              <w:t>2024-25</w:t>
            </w:r>
          </w:p>
        </w:tc>
        <w:tc>
          <w:tcPr>
            <w:tcW w:type="dxa" w:w="2520"/>
          </w:tcPr>
          <w:p>
            <w:r>
              <w:rPr>
                <w:sz w:val="16"/>
              </w:rPr>
              <w:t>Commercial Vehicles</w:t>
            </w:r>
          </w:p>
        </w:tc>
        <w:tc>
          <w:tcPr>
            <w:tcW w:type="dxa" w:w="2520"/>
          </w:tcPr>
          <w:p>
            <w:r>
              <w:rPr>
                <w:sz w:val="16"/>
              </w:rPr>
              <w:t>Production</w:t>
            </w:r>
          </w:p>
        </w:tc>
        <w:tc>
          <w:tcPr>
            <w:tcW w:type="dxa" w:w="2520"/>
          </w:tcPr>
          <w:p>
            <w:r>
              <w:rPr>
                <w:sz w:val="16"/>
              </w:rPr>
              <w:t>1034947</w:t>
            </w:r>
          </w:p>
        </w:tc>
      </w:tr>
      <w:tr>
        <w:tc>
          <w:tcPr>
            <w:tcW w:type="dxa" w:w="2520"/>
          </w:tcPr>
          <w:p>
            <w:r>
              <w:rPr>
                <w:sz w:val="16"/>
              </w:rPr>
              <w:t>2025-26</w:t>
            </w:r>
          </w:p>
        </w:tc>
        <w:tc>
          <w:tcPr>
            <w:tcW w:type="dxa" w:w="2520"/>
          </w:tcPr>
          <w:p>
            <w:r>
              <w:rPr>
                <w:sz w:val="16"/>
              </w:rPr>
              <w:t>Commercial Vehicles</w:t>
            </w:r>
          </w:p>
        </w:tc>
        <w:tc>
          <w:tcPr>
            <w:tcW w:type="dxa" w:w="2520"/>
          </w:tcPr>
          <w:p>
            <w:r>
              <w:rPr>
                <w:sz w:val="16"/>
              </w:rPr>
              <w:t>Production</w:t>
            </w:r>
          </w:p>
        </w:tc>
        <w:tc>
          <w:tcPr>
            <w:tcW w:type="dxa" w:w="2520"/>
          </w:tcPr>
          <w:p>
            <w:r>
              <w:rPr>
                <w:sz w:val="16"/>
              </w:rPr>
              <w:t>1170150</w:t>
            </w:r>
          </w:p>
        </w:tc>
      </w:tr>
    </w:tbl>
    <w:p>
      <w:pPr>
        <w:pStyle w:val="Heading1"/>
      </w:pPr>
      <w:r>
        <w:t>6. Initial Data Profiling</w:t>
      </w:r>
    </w:p>
    <w:p>
      <w:pPr>
        <w:ind w:left="360"/>
      </w:pPr>
      <w:r>
        <w:rPr>
          <w:rFonts w:ascii="Consolas" w:hAnsi="Consolas"/>
          <w:sz w:val="16"/>
        </w:rPr>
        <w:t>df = pd.read_csv("automotive_data_raw_week2.csv")</w:t>
        <w:br/>
        <w:br/>
        <w:t>print("Shape:", df.shape)</w:t>
        <w:br/>
        <w:t>print(df.head())</w:t>
        <w:br/>
        <w:t>print(df.info())</w:t>
        <w:br/>
        <w:t>print("\nMissing values:")</w:t>
        <w:br/>
        <w:t>print(df.isna().sum())</w:t>
        <w:br/>
        <w:t>print("\nDuplicate rows:", df.duplicated().sum())</w:t>
        <w:br/>
        <w:t>print("\nNumeric summary:")</w:t>
        <w:br/>
        <w:t>print(df["Units"].describe())</w:t>
      </w:r>
    </w:p>
    <w:tbl>
      <w:tblPr>
        <w:tblStyle w:val="TableGrid"/>
        <w:tblW w:type="auto" w:w="0"/>
        <w:jc w:val="center"/>
        <w:tblLook w:firstColumn="1" w:firstRow="1" w:lastColumn="0" w:lastRow="0" w:noHBand="0" w:noVBand="1" w:val="04A0"/>
      </w:tblPr>
      <w:tblGrid>
        <w:gridCol w:w="5040"/>
        <w:gridCol w:w="5040"/>
      </w:tblGrid>
      <w:tr>
        <w:tc>
          <w:tcPr>
            <w:tcW w:type="dxa" w:w="5040"/>
            <w:shd w:fill="1F4E78"/>
          </w:tcPr>
          <w:p>
            <w:r>
              <w:rPr>
                <w:b/>
                <w:sz w:val="17"/>
              </w:rPr>
              <w:t>Check</w:t>
            </w:r>
          </w:p>
        </w:tc>
        <w:tc>
          <w:tcPr>
            <w:tcW w:type="dxa" w:w="5040"/>
            <w:shd w:fill="1F4E78"/>
          </w:tcPr>
          <w:p>
            <w:r>
              <w:rPr>
                <w:b/>
                <w:sz w:val="17"/>
              </w:rPr>
              <w:t>Result</w:t>
            </w:r>
          </w:p>
        </w:tc>
      </w:tr>
      <w:tr>
        <w:tc>
          <w:tcPr>
            <w:tcW w:type="dxa" w:w="5040"/>
          </w:tcPr>
          <w:p>
            <w:r>
              <w:rPr>
                <w:sz w:val="16"/>
              </w:rPr>
              <w:t>Rows</w:t>
            </w:r>
          </w:p>
        </w:tc>
        <w:tc>
          <w:tcPr>
            <w:tcW w:type="dxa" w:w="5040"/>
          </w:tcPr>
          <w:p>
            <w:r>
              <w:rPr>
                <w:sz w:val="16"/>
              </w:rPr>
              <w:t>90</w:t>
            </w:r>
          </w:p>
        </w:tc>
      </w:tr>
      <w:tr>
        <w:tc>
          <w:tcPr>
            <w:tcW w:type="dxa" w:w="5040"/>
          </w:tcPr>
          <w:p>
            <w:r>
              <w:rPr>
                <w:sz w:val="16"/>
              </w:rPr>
              <w:t>Columns</w:t>
            </w:r>
          </w:p>
        </w:tc>
        <w:tc>
          <w:tcPr>
            <w:tcW w:type="dxa" w:w="5040"/>
          </w:tcPr>
          <w:p>
            <w:r>
              <w:rPr>
                <w:sz w:val="16"/>
              </w:rPr>
              <w:t>4</w:t>
            </w:r>
          </w:p>
        </w:tc>
      </w:tr>
      <w:tr>
        <w:tc>
          <w:tcPr>
            <w:tcW w:type="dxa" w:w="5040"/>
          </w:tcPr>
          <w:p>
            <w:r>
              <w:rPr>
                <w:sz w:val="16"/>
              </w:rPr>
              <w:t>Missing cells</w:t>
            </w:r>
          </w:p>
        </w:tc>
        <w:tc>
          <w:tcPr>
            <w:tcW w:type="dxa" w:w="5040"/>
          </w:tcPr>
          <w:p>
            <w:r>
              <w:rPr>
                <w:sz w:val="16"/>
              </w:rPr>
              <w:t>0</w:t>
            </w:r>
          </w:p>
        </w:tc>
      </w:tr>
      <w:tr>
        <w:tc>
          <w:tcPr>
            <w:tcW w:type="dxa" w:w="5040"/>
          </w:tcPr>
          <w:p>
            <w:r>
              <w:rPr>
                <w:sz w:val="16"/>
              </w:rPr>
              <w:t>Exact duplicate rows</w:t>
            </w:r>
          </w:p>
        </w:tc>
        <w:tc>
          <w:tcPr>
            <w:tcW w:type="dxa" w:w="5040"/>
          </w:tcPr>
          <w:p>
            <w:r>
              <w:rPr>
                <w:sz w:val="16"/>
              </w:rPr>
              <w:t>0</w:t>
            </w:r>
          </w:p>
        </w:tc>
      </w:tr>
      <w:tr>
        <w:tc>
          <w:tcPr>
            <w:tcW w:type="dxa" w:w="5040"/>
          </w:tcPr>
          <w:p>
            <w:r>
              <w:rPr>
                <w:sz w:val="16"/>
              </w:rPr>
              <w:t>Negative unit-count records</w:t>
            </w:r>
          </w:p>
        </w:tc>
        <w:tc>
          <w:tcPr>
            <w:tcW w:type="dxa" w:w="5040"/>
          </w:tcPr>
          <w:p>
            <w:r>
              <w:rPr>
                <w:sz w:val="16"/>
              </w:rPr>
              <w:t>1</w:t>
            </w:r>
          </w:p>
        </w:tc>
      </w:tr>
      <w:tr>
        <w:tc>
          <w:tcPr>
            <w:tcW w:type="dxa" w:w="5040"/>
          </w:tcPr>
          <w:p>
            <w:r>
              <w:rPr>
                <w:sz w:val="16"/>
              </w:rPr>
              <w:t>Numeric minimum</w:t>
            </w:r>
          </w:p>
        </w:tc>
        <w:tc>
          <w:tcPr>
            <w:tcW w:type="dxa" w:w="5040"/>
          </w:tcPr>
          <w:p>
            <w:r>
              <w:rPr>
                <w:sz w:val="16"/>
              </w:rPr>
              <w:t>-12</w:t>
            </w:r>
          </w:p>
        </w:tc>
      </w:tr>
      <w:tr>
        <w:tc>
          <w:tcPr>
            <w:tcW w:type="dxa" w:w="5040"/>
          </w:tcPr>
          <w:p>
            <w:r>
              <w:rPr>
                <w:sz w:val="16"/>
              </w:rPr>
              <w:t>Numeric maximum</w:t>
            </w:r>
          </w:p>
        </w:tc>
        <w:tc>
          <w:tcPr>
            <w:tcW w:type="dxa" w:w="5040"/>
          </w:tcPr>
          <w:p>
            <w:r>
              <w:rPr>
                <w:sz w:val="16"/>
              </w:rPr>
              <w:t>26691916</w:t>
            </w:r>
          </w:p>
        </w:tc>
      </w:tr>
    </w:tbl>
    <w:p>
      <w:pPr>
        <w:pStyle w:val="Heading1"/>
      </w:pPr>
      <w:r>
        <w:t>7. Cleaning Strategy</w:t>
      </w:r>
    </w:p>
    <w:p>
      <w:pPr>
        <w:pStyle w:val="Heading2"/>
      </w:pPr>
      <w:r>
        <w:t>7.1 Standardize text</w:t>
      </w:r>
    </w:p>
    <w:p>
      <w:pPr>
        <w:ind w:left="360"/>
      </w:pPr>
      <w:r>
        <w:rPr>
          <w:rFonts w:ascii="Consolas" w:hAnsi="Consolas"/>
          <w:sz w:val="16"/>
        </w:rPr>
        <w:t>for col in ["Financial_Year", "Vehicle_Category", "Metric"]:</w:t>
        <w:br/>
        <w:t xml:space="preserve">    df[col] = df[col].astype(str).str.strip()</w:t>
        <w:br/>
        <w:t xml:space="preserve">    df[col] = df[col].str.replace(r"\s+", " ", regex=True)</w:t>
      </w:r>
    </w:p>
    <w:p>
      <w:pPr>
        <w:pStyle w:val="Heading2"/>
      </w:pPr>
      <w:r>
        <w:t>7.2 Convert numeric fields</w:t>
      </w:r>
    </w:p>
    <w:p>
      <w:pPr>
        <w:ind w:left="360"/>
      </w:pPr>
      <w:r>
        <w:rPr>
          <w:rFonts w:ascii="Consolas" w:hAnsi="Consolas"/>
          <w:sz w:val="16"/>
        </w:rPr>
        <w:t>df["Units"] = pd.to_numeric(df["Units"], errors="coerce")</w:t>
      </w:r>
    </w:p>
    <w:p>
      <w:r>
        <w:t>This converts valid numeric strings into numbers and changes malformed values to NaN so they can be investigated instead of causing a processing failure.</w:t>
      </w:r>
    </w:p>
    <w:p>
      <w:pPr>
        <w:pStyle w:val="Heading2"/>
      </w:pPr>
      <w:r>
        <w:t>7.3 Missing values</w:t>
      </w:r>
    </w:p>
    <w:p>
      <w:r>
        <w:t>Missingness is measured before any treatment. The project does not automatically replace unknown values with averages because doing so can introduce artificial automotive volumes. If later modelling requires imputation, the method should be selected according to the variable and documented.</w:t>
      </w:r>
    </w:p>
    <w:p>
      <w:pPr>
        <w:ind w:left="360"/>
      </w:pPr>
      <w:r>
        <w:rPr>
          <w:rFonts w:ascii="Consolas" w:hAnsi="Consolas"/>
          <w:sz w:val="16"/>
        </w:rPr>
        <w:t>missing_report = df.isna().sum()</w:t>
        <w:br/>
        <w:t>print(missing_report)</w:t>
      </w:r>
    </w:p>
    <w:p>
      <w:pPr>
        <w:pStyle w:val="Heading2"/>
      </w:pPr>
      <w:r>
        <w:t>7.4 Duplicate records</w:t>
      </w:r>
    </w:p>
    <w:p>
      <w:pPr>
        <w:ind w:left="360"/>
      </w:pPr>
      <w:r>
        <w:rPr>
          <w:rFonts w:ascii="Consolas" w:hAnsi="Consolas"/>
          <w:sz w:val="16"/>
        </w:rPr>
        <w:t>duplicate_count = df.duplicated().sum()</w:t>
        <w:br/>
        <w:t>df = df.drop_duplicates()</w:t>
      </w:r>
    </w:p>
    <w:p>
      <w:r>
        <w:t>Result: 0 exact duplicate rows were detected in the working dataset, leaving 0 after the duplicate-removal step.</w:t>
      </w:r>
    </w:p>
    <w:p>
      <w:pPr>
        <w:pStyle w:val="Heading2"/>
      </w:pPr>
      <w:r>
        <w:t>7.5 Invalid negative value</w:t>
      </w:r>
    </w:p>
    <w:p>
      <w:r>
        <w:t>One negative unit-count observation was detected before cleaning. It is the Quadricycle domestic-sales value of -12 for FY2020-21 in the SIAM table. Because a number of vehicles sold cannot logically be negative, the observation was flagged and converted to NaN. The report does not invent a replacement value.</w:t>
      </w:r>
    </w:p>
    <w:p>
      <w:pPr>
        <w:ind w:left="360"/>
      </w:pPr>
      <w:r>
        <w:rPr>
          <w:rFonts w:ascii="Consolas" w:hAnsi="Consolas"/>
          <w:sz w:val="16"/>
        </w:rPr>
        <w:t>invalid = df[df["Units"] &lt; 0]</w:t>
        <w:br/>
        <w:t>df.loc[df["Units"] &lt; 0, "Units"] = np.nan</w:t>
      </w:r>
    </w:p>
    <w:p>
      <w:pPr>
        <w:pStyle w:val="Heading2"/>
      </w:pPr>
      <w:r>
        <w:t>7.6 Outlier identification using IQR</w:t>
      </w:r>
    </w:p>
    <w:p>
      <w:pPr>
        <w:ind w:left="360"/>
      </w:pPr>
      <w:r>
        <w:rPr>
          <w:rFonts w:ascii="Consolas" w:hAnsi="Consolas"/>
          <w:sz w:val="16"/>
        </w:rPr>
        <w:t>q1 = df["Units"].quantile(0.25)</w:t>
        <w:br/>
        <w:t>q3 = df["Units"].quantile(0.75)</w:t>
        <w:br/>
        <w:t>iqr = q3 - q1</w:t>
        <w:br/>
        <w:br/>
        <w:t>lower = q1 - 1.5 * iqr</w:t>
        <w:br/>
        <w:t>upper = q3 + 1.5 * iqr</w:t>
        <w:br/>
        <w:br/>
        <w:t>outliers = df[(df["Units"] &lt; lower) |</w:t>
        <w:br/>
        <w:t xml:space="preserve">              (df["Units"] &gt; upper)]</w:t>
      </w:r>
    </w:p>
    <w:p>
      <w:r>
        <w:t>Outlier detection is used as a review mechanism. Automotive data has legitimate scale differences, so a high two-wheeler value should not be deleted merely because it is numerically large.</w:t>
      </w:r>
    </w:p>
    <w:p>
      <w:r>
        <w:br w:type="page"/>
      </w:r>
    </w:p>
    <w:p>
      <w:pPr>
        <w:pStyle w:val="Heading1"/>
      </w:pPr>
      <w:r>
        <w:t>8. Before vs After Data Quality Results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1F4E78"/>
          </w:tcPr>
          <w:p>
            <w:r>
              <w:rPr>
                <w:b/>
                <w:sz w:val="17"/>
              </w:rPr>
              <w:t>Quality check</w:t>
            </w:r>
          </w:p>
        </w:tc>
        <w:tc>
          <w:tcPr>
            <w:tcW w:type="dxa" w:w="2520"/>
            <w:shd w:fill="1F4E78"/>
          </w:tcPr>
          <w:p>
            <w:r>
              <w:rPr>
                <w:b/>
                <w:sz w:val="17"/>
              </w:rPr>
              <w:t>Before</w:t>
            </w:r>
          </w:p>
        </w:tc>
        <w:tc>
          <w:tcPr>
            <w:tcW w:type="dxa" w:w="2520"/>
            <w:shd w:fill="1F4E78"/>
          </w:tcPr>
          <w:p>
            <w:r>
              <w:rPr>
                <w:b/>
                <w:sz w:val="17"/>
              </w:rPr>
              <w:t>After</w:t>
            </w:r>
          </w:p>
        </w:tc>
        <w:tc>
          <w:tcPr>
            <w:tcW w:type="dxa" w:w="2520"/>
            <w:shd w:fill="1F4E78"/>
          </w:tcPr>
          <w:p>
            <w:r>
              <w:rPr>
                <w:b/>
                <w:sz w:val="17"/>
              </w:rPr>
              <w:t>Treatment</w:t>
            </w:r>
          </w:p>
        </w:tc>
      </w:tr>
      <w:tr>
        <w:tc>
          <w:tcPr>
            <w:tcW w:type="dxa" w:w="2520"/>
          </w:tcPr>
          <w:p>
            <w:r>
              <w:rPr>
                <w:sz w:val="16"/>
              </w:rPr>
              <w:t>Missing cells</w:t>
            </w:r>
          </w:p>
        </w:tc>
        <w:tc>
          <w:tcPr>
            <w:tcW w:type="dxa" w:w="2520"/>
          </w:tcPr>
          <w:p>
            <w:r>
              <w:rPr>
                <w:sz w:val="16"/>
              </w:rPr>
              <w:t>0</w:t>
            </w:r>
          </w:p>
        </w:tc>
        <w:tc>
          <w:tcPr>
            <w:tcW w:type="dxa" w:w="2520"/>
          </w:tcPr>
          <w:p>
            <w:r>
              <w:rPr>
                <w:sz w:val="16"/>
              </w:rPr>
              <w:t>1</w:t>
            </w:r>
          </w:p>
        </w:tc>
        <w:tc>
          <w:tcPr>
            <w:tcW w:type="dxa" w:w="2520"/>
          </w:tcPr>
          <w:p>
            <w:r>
              <w:rPr>
                <w:sz w:val="16"/>
              </w:rPr>
              <w:t>Invalid value converted to NaN</w:t>
            </w:r>
          </w:p>
        </w:tc>
      </w:tr>
      <w:tr>
        <w:tc>
          <w:tcPr>
            <w:tcW w:type="dxa" w:w="2520"/>
          </w:tcPr>
          <w:p>
            <w:r>
              <w:rPr>
                <w:sz w:val="16"/>
              </w:rPr>
              <w:t>Exact duplicates</w:t>
            </w:r>
          </w:p>
        </w:tc>
        <w:tc>
          <w:tcPr>
            <w:tcW w:type="dxa" w:w="2520"/>
          </w:tcPr>
          <w:p>
            <w:r>
              <w:rPr>
                <w:sz w:val="16"/>
              </w:rPr>
              <w:t>0</w:t>
            </w:r>
          </w:p>
        </w:tc>
        <w:tc>
          <w:tcPr>
            <w:tcW w:type="dxa" w:w="2520"/>
          </w:tcPr>
          <w:p>
            <w:r>
              <w:rPr>
                <w:sz w:val="16"/>
              </w:rPr>
              <w:t>0</w:t>
            </w:r>
          </w:p>
        </w:tc>
        <w:tc>
          <w:tcPr>
            <w:tcW w:type="dxa" w:w="2520"/>
          </w:tcPr>
          <w:p>
            <w:r>
              <w:rPr>
                <w:sz w:val="16"/>
              </w:rPr>
              <w:t>Duplicate check/removal</w:t>
            </w:r>
          </w:p>
        </w:tc>
      </w:tr>
      <w:tr>
        <w:tc>
          <w:tcPr>
            <w:tcW w:type="dxa" w:w="2520"/>
          </w:tcPr>
          <w:p>
            <w:r>
              <w:rPr>
                <w:sz w:val="16"/>
              </w:rPr>
              <w:t>Negative unit counts</w:t>
            </w:r>
          </w:p>
        </w:tc>
        <w:tc>
          <w:tcPr>
            <w:tcW w:type="dxa" w:w="2520"/>
          </w:tcPr>
          <w:p>
            <w:r>
              <w:rPr>
                <w:sz w:val="16"/>
              </w:rPr>
              <w:t>1</w:t>
            </w:r>
          </w:p>
        </w:tc>
        <w:tc>
          <w:tcPr>
            <w:tcW w:type="dxa" w:w="2520"/>
          </w:tcPr>
          <w:p>
            <w:r>
              <w:rPr>
                <w:sz w:val="16"/>
              </w:rPr>
              <w:t>0</w:t>
            </w:r>
          </w:p>
        </w:tc>
        <w:tc>
          <w:tcPr>
            <w:tcW w:type="dxa" w:w="2520"/>
          </w:tcPr>
          <w:p>
            <w:r>
              <w:rPr>
                <w:sz w:val="16"/>
              </w:rPr>
              <w:t>Logical validation</w:t>
            </w:r>
          </w:p>
        </w:tc>
      </w:tr>
      <w:tr>
        <w:tc>
          <w:tcPr>
            <w:tcW w:type="dxa" w:w="2520"/>
          </w:tcPr>
          <w:p>
            <w:r>
              <w:rPr>
                <w:sz w:val="16"/>
              </w:rPr>
              <w:t>Rows</w:t>
            </w:r>
          </w:p>
        </w:tc>
        <w:tc>
          <w:tcPr>
            <w:tcW w:type="dxa" w:w="2520"/>
          </w:tcPr>
          <w:p>
            <w:r>
              <w:rPr>
                <w:sz w:val="16"/>
              </w:rPr>
              <w:t>90</w:t>
            </w:r>
          </w:p>
        </w:tc>
        <w:tc>
          <w:tcPr>
            <w:tcW w:type="dxa" w:w="2520"/>
          </w:tcPr>
          <w:p>
            <w:r>
              <w:rPr>
                <w:sz w:val="16"/>
              </w:rPr>
              <w:t>90</w:t>
            </w:r>
          </w:p>
        </w:tc>
        <w:tc>
          <w:tcPr>
            <w:tcW w:type="dxa" w:w="2520"/>
          </w:tcPr>
          <w:p>
            <w:r>
              <w:rPr>
                <w:sz w:val="16"/>
              </w:rPr>
              <w:t>No rows removed solely because of scale</w:t>
            </w:r>
          </w:p>
        </w:tc>
      </w:tr>
    </w:tbl>
    <w:p>
      <w:pPr>
        <w:jc w:val="center"/>
      </w:pPr>
      <w:r>
        <w:drawing>
          <wp:inline xmlns:a="http://schemas.openxmlformats.org/drawingml/2006/main" xmlns:pic="http://schemas.openxmlformats.org/drawingml/2006/picture">
            <wp:extent cx="5852160" cy="3549497"/>
            <wp:docPr id="2" name="Picture 2"/>
            <wp:cNvGraphicFramePr>
              <a:graphicFrameLocks noChangeAspect="1"/>
            </wp:cNvGraphicFramePr>
            <a:graphic>
              <a:graphicData uri="http://schemas.openxmlformats.org/drawingml/2006/picture">
                <pic:pic>
                  <pic:nvPicPr>
                    <pic:cNvPr id="0" name="02_quality_before_after.png"/>
                    <pic:cNvPicPr/>
                  </pic:nvPicPr>
                  <pic:blipFill>
                    <a:blip r:embed="rId10"/>
                    <a:stretch>
                      <a:fillRect/>
                    </a:stretch>
                  </pic:blipFill>
                  <pic:spPr>
                    <a:xfrm>
                      <a:off x="0" y="0"/>
                      <a:ext cx="5852160" cy="3549497"/>
                    </a:xfrm>
                    <a:prstGeom prst="rect"/>
                  </pic:spPr>
                </pic:pic>
              </a:graphicData>
            </a:graphic>
          </wp:inline>
        </w:drawing>
      </w:r>
    </w:p>
    <w:p>
      <w:pPr>
        <w:jc w:val="center"/>
      </w:pPr>
      <w:r>
        <w:t>Figure 2. Data-quality checks before and after cleaning.</w:t>
      </w:r>
    </w:p>
    <w:p>
      <w:pPr>
        <w:pStyle w:val="Heading1"/>
      </w:pPr>
      <w:r>
        <w:t>9. Validation Rules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F4E78"/>
          </w:tcPr>
          <w:p>
            <w:r>
              <w:rPr>
                <w:b/>
                <w:sz w:val="17"/>
              </w:rPr>
              <w:t>Field</w:t>
            </w:r>
          </w:p>
        </w:tc>
        <w:tc>
          <w:tcPr>
            <w:tcW w:type="dxa" w:w="3360"/>
            <w:shd w:fill="1F4E78"/>
          </w:tcPr>
          <w:p>
            <w:r>
              <w:rPr>
                <w:b/>
                <w:sz w:val="17"/>
              </w:rPr>
              <w:t>Rule</w:t>
            </w:r>
          </w:p>
        </w:tc>
        <w:tc>
          <w:tcPr>
            <w:tcW w:type="dxa" w:w="3360"/>
            <w:shd w:fill="1F4E78"/>
          </w:tcPr>
          <w:p>
            <w:r>
              <w:rPr>
                <w:b/>
                <w:sz w:val="17"/>
              </w:rPr>
              <w:t>Reason</w:t>
            </w:r>
          </w:p>
        </w:tc>
      </w:tr>
      <w:tr>
        <w:tc>
          <w:tcPr>
            <w:tcW w:type="dxa" w:w="3360"/>
          </w:tcPr>
          <w:p>
            <w:r>
              <w:rPr>
                <w:sz w:val="16"/>
              </w:rPr>
              <w:t>Financial_Year</w:t>
            </w:r>
          </w:p>
        </w:tc>
        <w:tc>
          <w:tcPr>
            <w:tcW w:type="dxa" w:w="3360"/>
          </w:tcPr>
          <w:p>
            <w:r>
              <w:rPr>
                <w:sz w:val="16"/>
              </w:rPr>
              <w:t>Must match FY format</w:t>
            </w:r>
          </w:p>
        </w:tc>
        <w:tc>
          <w:tcPr>
            <w:tcW w:type="dxa" w:w="3360"/>
          </w:tcPr>
          <w:p>
            <w:r>
              <w:rPr>
                <w:sz w:val="16"/>
              </w:rPr>
              <w:t>Prevents malformed time identifiers</w:t>
            </w:r>
          </w:p>
        </w:tc>
      </w:tr>
      <w:tr>
        <w:tc>
          <w:tcPr>
            <w:tcW w:type="dxa" w:w="3360"/>
          </w:tcPr>
          <w:p>
            <w:r>
              <w:rPr>
                <w:sz w:val="16"/>
              </w:rPr>
              <w:t>Vehicle_Category</w:t>
            </w:r>
          </w:p>
        </w:tc>
        <w:tc>
          <w:tcPr>
            <w:tcW w:type="dxa" w:w="3360"/>
          </w:tcPr>
          <w:p>
            <w:r>
              <w:rPr>
                <w:sz w:val="16"/>
              </w:rPr>
              <w:t>Must be in approved category list</w:t>
            </w:r>
          </w:p>
        </w:tc>
        <w:tc>
          <w:tcPr>
            <w:tcW w:type="dxa" w:w="3360"/>
          </w:tcPr>
          <w:p>
            <w:r>
              <w:rPr>
                <w:sz w:val="16"/>
              </w:rPr>
              <w:t>Prevents spelling/category drift</w:t>
            </w:r>
          </w:p>
        </w:tc>
      </w:tr>
      <w:tr>
        <w:tc>
          <w:tcPr>
            <w:tcW w:type="dxa" w:w="3360"/>
          </w:tcPr>
          <w:p>
            <w:r>
              <w:rPr>
                <w:sz w:val="16"/>
              </w:rPr>
              <w:t>Metric</w:t>
            </w:r>
          </w:p>
        </w:tc>
        <w:tc>
          <w:tcPr>
            <w:tcW w:type="dxa" w:w="3360"/>
          </w:tcPr>
          <w:p>
            <w:r>
              <w:rPr>
                <w:sz w:val="16"/>
              </w:rPr>
              <w:t>Must be Production, Domestic Sales or Exports</w:t>
            </w:r>
          </w:p>
        </w:tc>
        <w:tc>
          <w:tcPr>
            <w:tcW w:type="dxa" w:w="3360"/>
          </w:tcPr>
          <w:p>
            <w:r>
              <w:rPr>
                <w:sz w:val="16"/>
              </w:rPr>
              <w:t>Keeps measures consistent</w:t>
            </w:r>
          </w:p>
        </w:tc>
      </w:tr>
      <w:tr>
        <w:tc>
          <w:tcPr>
            <w:tcW w:type="dxa" w:w="3360"/>
          </w:tcPr>
          <w:p>
            <w:r>
              <w:rPr>
                <w:sz w:val="16"/>
              </w:rPr>
              <w:t>Units</w:t>
            </w:r>
          </w:p>
        </w:tc>
        <w:tc>
          <w:tcPr>
            <w:tcW w:type="dxa" w:w="3360"/>
          </w:tcPr>
          <w:p>
            <w:r>
              <w:rPr>
                <w:sz w:val="16"/>
              </w:rPr>
              <w:t>Must be numeric</w:t>
            </w:r>
          </w:p>
        </w:tc>
        <w:tc>
          <w:tcPr>
            <w:tcW w:type="dxa" w:w="3360"/>
          </w:tcPr>
          <w:p>
            <w:r>
              <w:rPr>
                <w:sz w:val="16"/>
              </w:rPr>
              <w:t>Enables mathematical analysis</w:t>
            </w:r>
          </w:p>
        </w:tc>
      </w:tr>
      <w:tr>
        <w:tc>
          <w:tcPr>
            <w:tcW w:type="dxa" w:w="3360"/>
          </w:tcPr>
          <w:p>
            <w:r>
              <w:rPr>
                <w:sz w:val="16"/>
              </w:rPr>
              <w:t>Units</w:t>
            </w:r>
          </w:p>
        </w:tc>
        <w:tc>
          <w:tcPr>
            <w:tcW w:type="dxa" w:w="3360"/>
          </w:tcPr>
          <w:p>
            <w:r>
              <w:rPr>
                <w:sz w:val="16"/>
              </w:rPr>
              <w:t>Should not be negative</w:t>
            </w:r>
          </w:p>
        </w:tc>
        <w:tc>
          <w:tcPr>
            <w:tcW w:type="dxa" w:w="3360"/>
          </w:tcPr>
          <w:p>
            <w:r>
              <w:rPr>
                <w:sz w:val="16"/>
              </w:rPr>
              <w:t>Protects logical validity</w:t>
            </w:r>
          </w:p>
        </w:tc>
      </w:tr>
      <w:tr>
        <w:tc>
          <w:tcPr>
            <w:tcW w:type="dxa" w:w="3360"/>
          </w:tcPr>
          <w:p>
            <w:r>
              <w:rPr>
                <w:sz w:val="16"/>
              </w:rPr>
              <w:t>Rows</w:t>
            </w:r>
          </w:p>
        </w:tc>
        <w:tc>
          <w:tcPr>
            <w:tcW w:type="dxa" w:w="3360"/>
          </w:tcPr>
          <w:p>
            <w:r>
              <w:rPr>
                <w:sz w:val="16"/>
              </w:rPr>
              <w:t>Duplicates should be checked</w:t>
            </w:r>
          </w:p>
        </w:tc>
        <w:tc>
          <w:tcPr>
            <w:tcW w:type="dxa" w:w="3360"/>
          </w:tcPr>
          <w:p>
            <w:r>
              <w:rPr>
                <w:sz w:val="16"/>
              </w:rPr>
              <w:t>Prevents double counting</w:t>
            </w:r>
          </w:p>
        </w:tc>
      </w:tr>
      <w:tr>
        <w:tc>
          <w:tcPr>
            <w:tcW w:type="dxa" w:w="3360"/>
          </w:tcPr>
          <w:p>
            <w:r>
              <w:rPr>
                <w:sz w:val="16"/>
              </w:rPr>
              <w:t>Source fidelity</w:t>
            </w:r>
          </w:p>
        </w:tc>
        <w:tc>
          <w:tcPr>
            <w:tcW w:type="dxa" w:w="3360"/>
          </w:tcPr>
          <w:p>
            <w:r>
              <w:rPr>
                <w:sz w:val="16"/>
              </w:rPr>
              <w:t>Original values should be traceable</w:t>
            </w:r>
          </w:p>
        </w:tc>
        <w:tc>
          <w:tcPr>
            <w:tcW w:type="dxa" w:w="3360"/>
          </w:tcPr>
          <w:p>
            <w:r>
              <w:rPr>
                <w:sz w:val="16"/>
              </w:rPr>
              <w:t>Supports reproducibility</w:t>
            </w:r>
          </w:p>
        </w:tc>
      </w:tr>
    </w:tbl>
    <w:p>
      <w:pPr>
        <w:pStyle w:val="Heading1"/>
      </w:pPr>
      <w:r>
        <w:rPr>
          <w:b/>
          <w:sz w:val="24"/>
        </w:rPr>
        <w:t>10. Cleaning Code – Complete Reproducible Version</w:t>
      </w:r>
    </w:p>
    <w:p>
      <w:pPr>
        <w:ind w:left="360"/>
      </w:pPr>
      <w:r>
        <w:rPr>
          <w:rFonts w:ascii="Consolas" w:hAnsi="Consolas"/>
          <w:sz w:val="16"/>
        </w:rPr>
        <w:t>import pandas as pd</w:t>
        <w:br/>
        <w:t>import numpy as np</w:t>
        <w:br/>
        <w:br/>
        <w:t># Load raw data</w:t>
        <w:br/>
        <w:t>df = pd.read_csv("automotive_data_raw_week2.csv")</w:t>
        <w:br/>
        <w:br/>
        <w:t># Profile</w:t>
        <w:br/>
        <w:t>print(df.shape)</w:t>
        <w:br/>
        <w:t>print(df.isna().sum())</w:t>
        <w:br/>
        <w:t>print(df.duplicated().sum())</w:t>
        <w:br/>
        <w:br/>
        <w:t># Standardize text</w:t>
        <w:br/>
        <w:t>text_cols = ["Financial_Year", "Vehicle_Category", "Metric"]</w:t>
        <w:br/>
        <w:t>for col in text_cols:</w:t>
        <w:br/>
        <w:t xml:space="preserve">    df[col] = df[col].astype(str).str.strip()</w:t>
        <w:br/>
        <w:t xml:space="preserve">    df[col] = df[col].str.replace(r"\s+", " ", regex=True)</w:t>
        <w:br/>
        <w:br/>
        <w:t># Convert Units to numeric</w:t>
        <w:br/>
        <w:t>df["Units"] = pd.to_numeric(df["Units"], errors="coerce")</w:t>
        <w:br/>
        <w:br/>
        <w:t># Remove exact duplicates</w:t>
        <w:br/>
        <w:t>df = df.drop_duplicates()</w:t>
        <w:br/>
        <w:br/>
        <w:t># Flag impossible negative counts</w:t>
        <w:br/>
        <w:t>df.loc[df["Units"] &lt; 0, "Units"] = np.nan</w:t>
        <w:br/>
        <w:br/>
        <w:t># Final validation</w:t>
        <w:br/>
        <w:t>assert df["Units"].dropna().ge(0).all()</w:t>
        <w:br/>
        <w:t>assert df.duplicated().sum() == 0</w:t>
        <w:br/>
        <w:br/>
        <w:t># Save clean data</w:t>
        <w:br/>
        <w:t>df.to_csv("automotive_data_cleaned_week2.csv", index=False)</w:t>
      </w:r>
    </w:p>
    <w:p>
      <w:pPr>
        <w:pStyle w:val="Heading1"/>
      </w:pPr>
      <w:r>
        <w:rPr>
          <w:b/>
          <w:sz w:val="24"/>
        </w:rPr>
        <w:t>11. Visual Validation and Automotive Insights</w:t>
      </w:r>
    </w:p>
    <w:p>
      <w:r>
        <w:t>Visual checks are useful after cleaning because they help identify unexpected scale changes or category errors. The following figures are validation-oriented; the full trend interpretation will be part of the subsequent EDA stage.</w:t>
      </w:r>
    </w:p>
    <w:p>
      <w:pPr>
        <w:jc w:val="center"/>
      </w:pPr>
      <w:r>
        <w:drawing>
          <wp:inline xmlns:a="http://schemas.openxmlformats.org/drawingml/2006/main" xmlns:pic="http://schemas.openxmlformats.org/drawingml/2006/picture">
            <wp:extent cx="5943600" cy="3764917"/>
            <wp:docPr id="3" name="Picture 3"/>
            <wp:cNvGraphicFramePr>
              <a:graphicFrameLocks noChangeAspect="1"/>
            </wp:cNvGraphicFramePr>
            <a:graphic>
              <a:graphicData uri="http://schemas.openxmlformats.org/drawingml/2006/picture">
                <pic:pic>
                  <pic:nvPicPr>
                    <pic:cNvPr id="0" name="03_production_validation.png"/>
                    <pic:cNvPicPr/>
                  </pic:nvPicPr>
                  <pic:blipFill>
                    <a:blip r:embed="rId11"/>
                    <a:stretch>
                      <a:fillRect/>
                    </a:stretch>
                  </pic:blipFill>
                  <pic:spPr>
                    <a:xfrm>
                      <a:off x="0" y="0"/>
                      <a:ext cx="5943600" cy="3764917"/>
                    </a:xfrm>
                    <a:prstGeom prst="rect"/>
                  </pic:spPr>
                </pic:pic>
              </a:graphicData>
            </a:graphic>
          </wp:inline>
        </w:drawing>
      </w:r>
    </w:p>
    <w:p>
      <w:pPr>
        <w:jc w:val="center"/>
      </w:pPr>
      <w:r>
        <w:t>Figure 3. Production values after structuring for analysis.</w:t>
      </w:r>
    </w:p>
    <w:p>
      <w:pPr>
        <w:jc w:val="center"/>
      </w:pPr>
      <w:r>
        <w:drawing>
          <wp:inline xmlns:a="http://schemas.openxmlformats.org/drawingml/2006/main" xmlns:pic="http://schemas.openxmlformats.org/drawingml/2006/picture">
            <wp:extent cx="5669280" cy="4266409"/>
            <wp:docPr id="4" name="Picture 4"/>
            <wp:cNvGraphicFramePr>
              <a:graphicFrameLocks noChangeAspect="1"/>
            </wp:cNvGraphicFramePr>
            <a:graphic>
              <a:graphicData uri="http://schemas.openxmlformats.org/drawingml/2006/picture">
                <pic:pic>
                  <pic:nvPicPr>
                    <pic:cNvPr id="0" name="04_category_scale.png"/>
                    <pic:cNvPicPr/>
                  </pic:nvPicPr>
                  <pic:blipFill>
                    <a:blip r:embed="rId12"/>
                    <a:stretch>
                      <a:fillRect/>
                    </a:stretch>
                  </pic:blipFill>
                  <pic:spPr>
                    <a:xfrm>
                      <a:off x="0" y="0"/>
                      <a:ext cx="5669280" cy="4266409"/>
                    </a:xfrm>
                    <a:prstGeom prst="rect"/>
                  </pic:spPr>
                </pic:pic>
              </a:graphicData>
            </a:graphic>
          </wp:inline>
        </w:drawing>
      </w:r>
    </w:p>
    <w:p>
      <w:pPr>
        <w:jc w:val="center"/>
      </w:pPr>
      <w:r>
        <w:t>Figure 4. Category/metric scale in FY2025-26.</w:t>
      </w:r>
    </w:p>
    <w:p>
      <w:pPr>
        <w:pStyle w:val="Heading1"/>
      </w:pPr>
      <w:r>
        <w:rPr>
          <w:b/>
          <w:sz w:val="24"/>
        </w:rPr>
        <w:t>12. Challenges and Solutions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F4E78"/>
          </w:tcPr>
          <w:p>
            <w:r>
              <w:rPr>
                <w:b/>
                <w:sz w:val="17"/>
              </w:rPr>
              <w:t>Challenge</w:t>
            </w:r>
          </w:p>
        </w:tc>
        <w:tc>
          <w:tcPr>
            <w:tcW w:type="dxa" w:w="3360"/>
            <w:shd w:fill="1F4E78"/>
          </w:tcPr>
          <w:p>
            <w:r>
              <w:rPr>
                <w:b/>
                <w:sz w:val="17"/>
              </w:rPr>
              <w:t>Problem</w:t>
            </w:r>
          </w:p>
        </w:tc>
        <w:tc>
          <w:tcPr>
            <w:tcW w:type="dxa" w:w="3360"/>
            <w:shd w:fill="1F4E78"/>
          </w:tcPr>
          <w:p>
            <w:r>
              <w:rPr>
                <w:b/>
                <w:sz w:val="17"/>
              </w:rPr>
              <w:t>Solution</w:t>
            </w:r>
          </w:p>
        </w:tc>
      </w:tr>
      <w:tr>
        <w:tc>
          <w:tcPr>
            <w:tcW w:type="dxa" w:w="3360"/>
          </w:tcPr>
          <w:p>
            <w:r>
              <w:rPr>
                <w:sz w:val="16"/>
              </w:rPr>
              <w:t>Public-source formatting</w:t>
            </w:r>
          </w:p>
        </w:tc>
        <w:tc>
          <w:tcPr>
            <w:tcW w:type="dxa" w:w="3360"/>
          </w:tcPr>
          <w:p>
            <w:r>
              <w:rPr>
                <w:sz w:val="16"/>
              </w:rPr>
              <w:t>Official tables may not be immediately analysis-ready.</w:t>
            </w:r>
          </w:p>
        </w:tc>
        <w:tc>
          <w:tcPr>
            <w:tcW w:type="dxa" w:w="3360"/>
          </w:tcPr>
          <w:p>
            <w:r>
              <w:rPr>
                <w:sz w:val="16"/>
              </w:rPr>
              <w:t>Convert to a consistent long-format DataFrame.</w:t>
            </w:r>
          </w:p>
        </w:tc>
      </w:tr>
      <w:tr>
        <w:tc>
          <w:tcPr>
            <w:tcW w:type="dxa" w:w="3360"/>
          </w:tcPr>
          <w:p>
            <w:r>
              <w:rPr>
                <w:sz w:val="16"/>
              </w:rPr>
              <w:t>Invalid value</w:t>
            </w:r>
          </w:p>
        </w:tc>
        <w:tc>
          <w:tcPr>
            <w:tcW w:type="dxa" w:w="3360"/>
          </w:tcPr>
          <w:p>
            <w:r>
              <w:rPr>
                <w:sz w:val="16"/>
              </w:rPr>
              <w:t>A negative vehicle-count value appeared in one source cell.</w:t>
            </w:r>
          </w:p>
        </w:tc>
        <w:tc>
          <w:tcPr>
            <w:tcW w:type="dxa" w:w="3360"/>
          </w:tcPr>
          <w:p>
            <w:r>
              <w:rPr>
                <w:sz w:val="16"/>
              </w:rPr>
              <w:t>Flag, document and convert to NaN rather than fabricate data.</w:t>
            </w:r>
          </w:p>
        </w:tc>
      </w:tr>
      <w:tr>
        <w:tc>
          <w:tcPr>
            <w:tcW w:type="dxa" w:w="3360"/>
          </w:tcPr>
          <w:p>
            <w:r>
              <w:rPr>
                <w:sz w:val="16"/>
              </w:rPr>
              <w:t>Scale differences</w:t>
            </w:r>
          </w:p>
        </w:tc>
        <w:tc>
          <w:tcPr>
            <w:tcW w:type="dxa" w:w="3360"/>
          </w:tcPr>
          <w:p>
            <w:r>
              <w:rPr>
                <w:sz w:val="16"/>
              </w:rPr>
              <w:t>Two-wheelers have much larger volumes than some other categories.</w:t>
            </w:r>
          </w:p>
        </w:tc>
        <w:tc>
          <w:tcPr>
            <w:tcW w:type="dxa" w:w="3360"/>
          </w:tcPr>
          <w:p>
            <w:r>
              <w:rPr>
                <w:sz w:val="16"/>
              </w:rPr>
              <w:t>Analyze by category and use normalized measures when appropriate.</w:t>
            </w:r>
          </w:p>
        </w:tc>
      </w:tr>
      <w:tr>
        <w:tc>
          <w:tcPr>
            <w:tcW w:type="dxa" w:w="3360"/>
          </w:tcPr>
          <w:p>
            <w:r>
              <w:rPr>
                <w:sz w:val="16"/>
              </w:rPr>
              <w:t>Missing values</w:t>
            </w:r>
          </w:p>
        </w:tc>
        <w:tc>
          <w:tcPr>
            <w:tcW w:type="dxa" w:w="3360"/>
          </w:tcPr>
          <w:p>
            <w:r>
              <w:rPr>
                <w:sz w:val="16"/>
              </w:rPr>
              <w:t>Public datasets may have unknown or unavailable observations.</w:t>
            </w:r>
          </w:p>
        </w:tc>
        <w:tc>
          <w:tcPr>
            <w:tcW w:type="dxa" w:w="3360"/>
          </w:tcPr>
          <w:p>
            <w:r>
              <w:rPr>
                <w:sz w:val="16"/>
              </w:rPr>
              <w:t>Measure first and avoid unjustified imputation.</w:t>
            </w:r>
          </w:p>
        </w:tc>
      </w:tr>
      <w:tr>
        <w:tc>
          <w:tcPr>
            <w:tcW w:type="dxa" w:w="3360"/>
          </w:tcPr>
          <w:p>
            <w:r>
              <w:rPr>
                <w:sz w:val="16"/>
              </w:rPr>
              <w:t>Duplicates</w:t>
            </w:r>
          </w:p>
        </w:tc>
        <w:tc>
          <w:tcPr>
            <w:tcW w:type="dxa" w:w="3360"/>
          </w:tcPr>
          <w:p>
            <w:r>
              <w:rPr>
                <w:sz w:val="16"/>
              </w:rPr>
              <w:t>Repeated records can inflate totals.</w:t>
            </w:r>
          </w:p>
        </w:tc>
        <w:tc>
          <w:tcPr>
            <w:tcW w:type="dxa" w:w="3360"/>
          </w:tcPr>
          <w:p>
            <w:r>
              <w:rPr>
                <w:sz w:val="16"/>
              </w:rPr>
              <w:t>Use duplicated() and drop_duplicates().</w:t>
            </w:r>
          </w:p>
        </w:tc>
      </w:tr>
      <w:tr>
        <w:tc>
          <w:tcPr>
            <w:tcW w:type="dxa" w:w="3360"/>
          </w:tcPr>
          <w:p>
            <w:r>
              <w:rPr>
                <w:sz w:val="16"/>
              </w:rPr>
              <w:t>Outliers</w:t>
            </w:r>
          </w:p>
        </w:tc>
        <w:tc>
          <w:tcPr>
            <w:tcW w:type="dxa" w:w="3360"/>
          </w:tcPr>
          <w:p>
            <w:r>
              <w:rPr>
                <w:sz w:val="16"/>
              </w:rPr>
              <w:t>Large values can be legitimate industry observations.</w:t>
            </w:r>
          </w:p>
        </w:tc>
        <w:tc>
          <w:tcPr>
            <w:tcW w:type="dxa" w:w="3360"/>
          </w:tcPr>
          <w:p>
            <w:r>
              <w:rPr>
                <w:sz w:val="16"/>
              </w:rPr>
              <w:t>Validate against source and domain context before removal.</w:t>
            </w:r>
          </w:p>
        </w:tc>
      </w:tr>
      <w:tr>
        <w:tc>
          <w:tcPr>
            <w:tcW w:type="dxa" w:w="3360"/>
          </w:tcPr>
          <w:p>
            <w:r>
              <w:rPr>
                <w:sz w:val="16"/>
              </w:rPr>
              <w:t>Reproducibility</w:t>
            </w:r>
          </w:p>
        </w:tc>
        <w:tc>
          <w:tcPr>
            <w:tcW w:type="dxa" w:w="3360"/>
          </w:tcPr>
          <w:p>
            <w:r>
              <w:rPr>
                <w:sz w:val="16"/>
              </w:rPr>
              <w:t>Manual cleaning is difficult to audit.</w:t>
            </w:r>
          </w:p>
        </w:tc>
        <w:tc>
          <w:tcPr>
            <w:tcW w:type="dxa" w:w="3360"/>
          </w:tcPr>
          <w:p>
            <w:r>
              <w:rPr>
                <w:sz w:val="16"/>
              </w:rPr>
              <w:t>Save raw and clean files separately and use executable code.</w:t>
            </w:r>
          </w:p>
        </w:tc>
      </w:tr>
    </w:tbl>
    <w:p>
      <w:pPr>
        <w:pStyle w:val="Heading1"/>
      </w:pPr>
      <w:r>
        <w:rPr>
          <w:b/>
          <w:sz w:val="24"/>
        </w:rPr>
        <w:t>13. How the Clean Dataset Supports Future Analysis</w:t>
      </w:r>
    </w:p>
    <w:p>
      <w:pPr>
        <w:pStyle w:val="ListBullet"/>
      </w:pPr>
      <w:r>
        <w:t>EDA: calculate production, domestic-sales and export trends by year and category.</w:t>
      </w:r>
    </w:p>
    <w:p>
      <w:pPr>
        <w:pStyle w:val="ListBullet"/>
      </w:pPr>
      <w:r>
        <w:t>Growth analysis: calculate year-on-year percentage changes.</w:t>
      </w:r>
    </w:p>
    <w:p>
      <w:pPr>
        <w:pStyle w:val="ListBullet"/>
      </w:pPr>
      <w:r>
        <w:t>Visualization: create category-wise line charts and comparisons.</w:t>
      </w:r>
    </w:p>
    <w:p>
      <w:pPr>
        <w:pStyle w:val="ListBullet"/>
      </w:pPr>
      <w:r>
        <w:t>Statistical analysis: investigate distributions and relationships after adding suitable variables.</w:t>
      </w:r>
    </w:p>
    <w:p>
      <w:pPr>
        <w:pStyle w:val="ListBullet"/>
      </w:pPr>
      <w:r>
        <w:t>Predictive modelling: use the cleaned time-series and additional explanatory variables for forecasting experiments.</w:t>
      </w:r>
    </w:p>
    <w:p>
      <w:pPr>
        <w:pStyle w:val="ListBullet"/>
      </w:pPr>
      <w:r>
        <w:t>EV expansion: merge compatible government/Vahan EV data with automotive industry indicators after matching time periods and definitions.</w:t>
      </w:r>
    </w:p>
    <w:p>
      <w:pPr>
        <w:pStyle w:val="Heading1"/>
      </w:pPr>
      <w:r>
        <w:rPr>
          <w:b/>
          <w:sz w:val="24"/>
        </w:rPr>
        <w:t>14. Key Learning and Insights</w:t>
      </w:r>
    </w:p>
    <w:p>
      <w:pPr>
        <w:pStyle w:val="ListBullet"/>
      </w:pPr>
      <w:r>
        <w:t>Data cleaning requires domain knowledge; not every unusual number is an error.</w:t>
      </w:r>
    </w:p>
    <w:p>
      <w:pPr>
        <w:pStyle w:val="ListBullet"/>
      </w:pPr>
      <w:r>
        <w:t>Negative vehicle-count values require validation because they violate the meaning of the measure.</w:t>
      </w:r>
    </w:p>
    <w:p>
      <w:pPr>
        <w:pStyle w:val="ListBullet"/>
      </w:pPr>
      <w:r>
        <w:t>Missing values should be measured and documented before choosing an imputation strategy.</w:t>
      </w:r>
    </w:p>
    <w:p>
      <w:pPr>
        <w:pStyle w:val="ListBullet"/>
      </w:pPr>
      <w:r>
        <w:t>Outlier detection should consider vehicle-category scale and industry context.</w:t>
      </w:r>
    </w:p>
    <w:p>
      <w:pPr>
        <w:pStyle w:val="ListBullet"/>
      </w:pPr>
      <w:r>
        <w:t>Keeping raw and cleaned datasets separate improves reproducibility and auditability.</w:t>
      </w:r>
    </w:p>
    <w:p>
      <w:pPr>
        <w:pStyle w:val="ListBullet"/>
      </w:pPr>
      <w:r>
        <w:t>Clean, consistently typed data is essential before calculating trends, correlations or predictive models.</w:t>
      </w:r>
    </w:p>
    <w:p>
      <w:pPr>
        <w:pStyle w:val="Heading1"/>
      </w:pPr>
      <w:r>
        <w:rPr>
          <w:b/>
          <w:sz w:val="24"/>
        </w:rPr>
        <w:t>15. 30–35 Hour Practical Work Plan</w:t>
      </w:r>
    </w:p>
    <w:tbl>
      <w:tblPr>
        <w:tblStyle w:val="TableGrid"/>
        <w:tblW w:type="auto" w:w="0"/>
        <w:jc w:val="center"/>
        <w:tblLook w:firstColumn="1" w:firstRow="1" w:lastColumn="0" w:lastRow="0" w:noHBand="0" w:noVBand="1" w:val="04A0"/>
      </w:tblPr>
      <w:tblGrid>
        <w:gridCol w:w="5040"/>
        <w:gridCol w:w="5040"/>
      </w:tblGrid>
      <w:tr>
        <w:tc>
          <w:tcPr>
            <w:tcW w:type="dxa" w:w="5040"/>
            <w:shd w:fill="1F4E78"/>
          </w:tcPr>
          <w:p>
            <w:r>
              <w:rPr>
                <w:b/>
                <w:sz w:val="17"/>
              </w:rPr>
              <w:t>Activity</w:t>
            </w:r>
          </w:p>
        </w:tc>
        <w:tc>
          <w:tcPr>
            <w:tcW w:type="dxa" w:w="5040"/>
            <w:shd w:fill="1F4E78"/>
          </w:tcPr>
          <w:p>
            <w:r>
              <w:rPr>
                <w:b/>
                <w:sz w:val="17"/>
              </w:rPr>
              <w:t>Hours</w:t>
            </w:r>
          </w:p>
        </w:tc>
      </w:tr>
      <w:tr>
        <w:tc>
          <w:tcPr>
            <w:tcW w:type="dxa" w:w="5040"/>
          </w:tcPr>
          <w:p>
            <w:r>
              <w:rPr>
                <w:sz w:val="16"/>
              </w:rPr>
              <w:t>Automotive data-source research</w:t>
            </w:r>
          </w:p>
        </w:tc>
        <w:tc>
          <w:tcPr>
            <w:tcW w:type="dxa" w:w="5040"/>
          </w:tcPr>
          <w:p>
            <w:r>
              <w:rPr>
                <w:sz w:val="16"/>
              </w:rPr>
              <w:t>4</w:t>
            </w:r>
          </w:p>
        </w:tc>
      </w:tr>
      <w:tr>
        <w:tc>
          <w:tcPr>
            <w:tcW w:type="dxa" w:w="5040"/>
          </w:tcPr>
          <w:p>
            <w:r>
              <w:rPr>
                <w:sz w:val="16"/>
              </w:rPr>
              <w:t>Source extraction and raw-data preparation</w:t>
            </w:r>
          </w:p>
        </w:tc>
        <w:tc>
          <w:tcPr>
            <w:tcW w:type="dxa" w:w="5040"/>
          </w:tcPr>
          <w:p>
            <w:r>
              <w:rPr>
                <w:sz w:val="16"/>
              </w:rPr>
              <w:t>5</w:t>
            </w:r>
          </w:p>
        </w:tc>
      </w:tr>
      <w:tr>
        <w:tc>
          <w:tcPr>
            <w:tcW w:type="dxa" w:w="5040"/>
          </w:tcPr>
          <w:p>
            <w:r>
              <w:rPr>
                <w:sz w:val="16"/>
              </w:rPr>
              <w:t>Python environment and library setup</w:t>
            </w:r>
          </w:p>
        </w:tc>
        <w:tc>
          <w:tcPr>
            <w:tcW w:type="dxa" w:w="5040"/>
          </w:tcPr>
          <w:p>
            <w:r>
              <w:rPr>
                <w:sz w:val="16"/>
              </w:rPr>
              <w:t>3</w:t>
            </w:r>
          </w:p>
        </w:tc>
      </w:tr>
      <w:tr>
        <w:tc>
          <w:tcPr>
            <w:tcW w:type="dxa" w:w="5040"/>
          </w:tcPr>
          <w:p>
            <w:r>
              <w:rPr>
                <w:sz w:val="16"/>
              </w:rPr>
              <w:t>Initial profiling and data-quality checks</w:t>
            </w:r>
          </w:p>
        </w:tc>
        <w:tc>
          <w:tcPr>
            <w:tcW w:type="dxa" w:w="5040"/>
          </w:tcPr>
          <w:p>
            <w:r>
              <w:rPr>
                <w:sz w:val="16"/>
              </w:rPr>
              <w:t>5</w:t>
            </w:r>
          </w:p>
        </w:tc>
      </w:tr>
      <w:tr>
        <w:tc>
          <w:tcPr>
            <w:tcW w:type="dxa" w:w="5040"/>
          </w:tcPr>
          <w:p>
            <w:r>
              <w:rPr>
                <w:sz w:val="16"/>
              </w:rPr>
              <w:t>Cleaning, validation and anomaly handling</w:t>
            </w:r>
          </w:p>
        </w:tc>
        <w:tc>
          <w:tcPr>
            <w:tcW w:type="dxa" w:w="5040"/>
          </w:tcPr>
          <w:p>
            <w:r>
              <w:rPr>
                <w:sz w:val="16"/>
              </w:rPr>
              <w:t>8</w:t>
            </w:r>
          </w:p>
        </w:tc>
      </w:tr>
      <w:tr>
        <w:tc>
          <w:tcPr>
            <w:tcW w:type="dxa" w:w="5040"/>
          </w:tcPr>
          <w:p>
            <w:r>
              <w:rPr>
                <w:sz w:val="16"/>
              </w:rPr>
              <w:t>Visualization and verification</w:t>
            </w:r>
          </w:p>
        </w:tc>
        <w:tc>
          <w:tcPr>
            <w:tcW w:type="dxa" w:w="5040"/>
          </w:tcPr>
          <w:p>
            <w:r>
              <w:rPr>
                <w:sz w:val="16"/>
              </w:rPr>
              <w:t>4</w:t>
            </w:r>
          </w:p>
        </w:tc>
      </w:tr>
      <w:tr>
        <w:tc>
          <w:tcPr>
            <w:tcW w:type="dxa" w:w="5040"/>
          </w:tcPr>
          <w:p>
            <w:r>
              <w:rPr>
                <w:sz w:val="16"/>
              </w:rPr>
              <w:t>Documentation, screenshots/code and final formatting</w:t>
            </w:r>
          </w:p>
        </w:tc>
        <w:tc>
          <w:tcPr>
            <w:tcW w:type="dxa" w:w="5040"/>
          </w:tcPr>
          <w:p>
            <w:r>
              <w:rPr>
                <w:sz w:val="16"/>
              </w:rPr>
              <w:t>5</w:t>
            </w:r>
          </w:p>
        </w:tc>
      </w:tr>
      <w:tr>
        <w:tc>
          <w:tcPr>
            <w:tcW w:type="dxa" w:w="5040"/>
          </w:tcPr>
          <w:p>
            <w:r>
              <w:rPr>
                <w:sz w:val="16"/>
              </w:rPr>
              <w:t>Total</w:t>
            </w:r>
          </w:p>
        </w:tc>
        <w:tc>
          <w:tcPr>
            <w:tcW w:type="dxa" w:w="5040"/>
          </w:tcPr>
          <w:p>
            <w:r>
              <w:rPr>
                <w:sz w:val="16"/>
              </w:rPr>
              <w:t>34</w:t>
            </w:r>
          </w:p>
        </w:tc>
      </w:tr>
    </w:tbl>
    <w:p>
      <w:pPr>
        <w:pStyle w:val="Heading1"/>
      </w:pPr>
      <w:r>
        <w:rPr>
          <w:b/>
          <w:sz w:val="24"/>
        </w:rPr>
        <w:t>16. Deliverables Produced</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F4E78"/>
          </w:tcPr>
          <w:p>
            <w:r>
              <w:rPr>
                <w:b/>
                <w:sz w:val="17"/>
              </w:rPr>
              <w:t>Deliverable</w:t>
            </w:r>
          </w:p>
        </w:tc>
        <w:tc>
          <w:tcPr>
            <w:tcW w:type="dxa" w:w="3360"/>
            <w:shd w:fill="1F4E78"/>
          </w:tcPr>
          <w:p>
            <w:r>
              <w:rPr>
                <w:b/>
                <w:sz w:val="17"/>
              </w:rPr>
              <w:t>Format</w:t>
            </w:r>
          </w:p>
        </w:tc>
        <w:tc>
          <w:tcPr>
            <w:tcW w:type="dxa" w:w="3360"/>
            <w:shd w:fill="1F4E78"/>
          </w:tcPr>
          <w:p>
            <w:r>
              <w:rPr>
                <w:b/>
                <w:sz w:val="17"/>
              </w:rPr>
              <w:t>Purpose</w:t>
            </w:r>
          </w:p>
        </w:tc>
      </w:tr>
      <w:tr>
        <w:tc>
          <w:tcPr>
            <w:tcW w:type="dxa" w:w="3360"/>
          </w:tcPr>
          <w:p>
            <w:r>
              <w:rPr>
                <w:sz w:val="16"/>
              </w:rPr>
              <w:t>Week 2 report</w:t>
            </w:r>
          </w:p>
        </w:tc>
        <w:tc>
          <w:tcPr>
            <w:tcW w:type="dxa" w:w="3360"/>
          </w:tcPr>
          <w:p>
            <w:r>
              <w:rPr>
                <w:sz w:val="16"/>
              </w:rPr>
              <w:t>DOCX</w:t>
            </w:r>
          </w:p>
        </w:tc>
        <w:tc>
          <w:tcPr>
            <w:tcW w:type="dxa" w:w="3360"/>
          </w:tcPr>
          <w:p>
            <w:r>
              <w:rPr>
                <w:sz w:val="16"/>
              </w:rPr>
              <w:t>Detailed acquisition, cleaning, validation and future utility</w:t>
            </w:r>
          </w:p>
        </w:tc>
      </w:tr>
      <w:tr>
        <w:tc>
          <w:tcPr>
            <w:tcW w:type="dxa" w:w="3360"/>
          </w:tcPr>
          <w:p>
            <w:r>
              <w:rPr>
                <w:sz w:val="16"/>
              </w:rPr>
              <w:t>Raw dataset</w:t>
            </w:r>
          </w:p>
        </w:tc>
        <w:tc>
          <w:tcPr>
            <w:tcW w:type="dxa" w:w="3360"/>
          </w:tcPr>
          <w:p>
            <w:r>
              <w:rPr>
                <w:sz w:val="16"/>
              </w:rPr>
              <w:t>CSV</w:t>
            </w:r>
          </w:p>
        </w:tc>
        <w:tc>
          <w:tcPr>
            <w:tcW w:type="dxa" w:w="3360"/>
          </w:tcPr>
          <w:p>
            <w:r>
              <w:rPr>
                <w:sz w:val="16"/>
              </w:rPr>
              <w:t>Original structured values before cleaning</w:t>
            </w:r>
          </w:p>
        </w:tc>
      </w:tr>
      <w:tr>
        <w:tc>
          <w:tcPr>
            <w:tcW w:type="dxa" w:w="3360"/>
          </w:tcPr>
          <w:p>
            <w:r>
              <w:rPr>
                <w:sz w:val="16"/>
              </w:rPr>
              <w:t>Cleaned dataset</w:t>
            </w:r>
          </w:p>
        </w:tc>
        <w:tc>
          <w:tcPr>
            <w:tcW w:type="dxa" w:w="3360"/>
          </w:tcPr>
          <w:p>
            <w:r>
              <w:rPr>
                <w:sz w:val="16"/>
              </w:rPr>
              <w:t>CSV</w:t>
            </w:r>
          </w:p>
        </w:tc>
        <w:tc>
          <w:tcPr>
            <w:tcW w:type="dxa" w:w="3360"/>
          </w:tcPr>
          <w:p>
            <w:r>
              <w:rPr>
                <w:sz w:val="16"/>
              </w:rPr>
              <w:t>Validated dataset for subsequent analysis</w:t>
            </w:r>
          </w:p>
        </w:tc>
      </w:tr>
      <w:tr>
        <w:tc>
          <w:tcPr>
            <w:tcW w:type="dxa" w:w="3360"/>
          </w:tcPr>
          <w:p>
            <w:r>
              <w:rPr>
                <w:sz w:val="16"/>
              </w:rPr>
              <w:t>Python preprocessing code</w:t>
            </w:r>
          </w:p>
        </w:tc>
        <w:tc>
          <w:tcPr>
            <w:tcW w:type="dxa" w:w="3360"/>
          </w:tcPr>
          <w:p>
            <w:r>
              <w:rPr>
                <w:sz w:val="16"/>
              </w:rPr>
              <w:t>Included in DOC</w:t>
            </w:r>
          </w:p>
        </w:tc>
        <w:tc>
          <w:tcPr>
            <w:tcW w:type="dxa" w:w="3360"/>
          </w:tcPr>
          <w:p>
            <w:r>
              <w:rPr>
                <w:sz w:val="16"/>
              </w:rPr>
              <w:t>Reproducible cleaning workflow</w:t>
            </w:r>
          </w:p>
        </w:tc>
      </w:tr>
      <w:tr>
        <w:tc>
          <w:tcPr>
            <w:tcW w:type="dxa" w:w="3360"/>
          </w:tcPr>
          <w:p>
            <w:r>
              <w:rPr>
                <w:sz w:val="16"/>
              </w:rPr>
              <w:t>Quality figures</w:t>
            </w:r>
          </w:p>
        </w:tc>
        <w:tc>
          <w:tcPr>
            <w:tcW w:type="dxa" w:w="3360"/>
          </w:tcPr>
          <w:p>
            <w:r>
              <w:rPr>
                <w:sz w:val="16"/>
              </w:rPr>
              <w:t>PNG / embedded</w:t>
            </w:r>
          </w:p>
        </w:tc>
        <w:tc>
          <w:tcPr>
            <w:tcW w:type="dxa" w:w="3360"/>
          </w:tcPr>
          <w:p>
            <w:r>
              <w:rPr>
                <w:sz w:val="16"/>
              </w:rPr>
              <w:t>Pipeline and before-after quality validation</w:t>
            </w:r>
          </w:p>
        </w:tc>
      </w:tr>
    </w:tbl>
    <w:p>
      <w:pPr>
        <w:pStyle w:val="Heading1"/>
      </w:pPr>
      <w:r>
        <w:rPr>
          <w:b/>
          <w:sz w:val="24"/>
        </w:rPr>
        <w:t>17. Conclusion</w:t>
      </w:r>
    </w:p>
    <w:p>
      <w:r>
        <w:t>The Week 2 workflow demonstrates practical data preprocessing rather than only theoretical discussion. Automotive data was structured, inspected, validated and cleaned using Python, Pandas and NumPy. Every important transformation has a documented reason, and the raw dataset is retained separately from the cleaned dataset. This creates a reliable foundation for the next stage of the internship: exploratory data analysis, visualization and eventually predictive modelling.</w:t>
      </w:r>
    </w:p>
    <w:p>
      <w:pPr>
        <w:pStyle w:val="Heading1"/>
      </w:pPr>
      <w:r>
        <w:rPr>
          <w:b/>
          <w:sz w:val="24"/>
        </w:rPr>
        <w:t>18. References</w:t>
      </w:r>
    </w:p>
    <w:p>
      <w:pPr>
        <w:pStyle w:val="ListBullet"/>
      </w:pPr>
      <w:r>
        <w:t>Society of Indian Automobile Manufacturers (SIAM), Industry Trends – Production, Domestic Sales and Exports.</w:t>
      </w:r>
    </w:p>
    <w:p>
      <w:pPr>
        <w:pStyle w:val="ListBullet"/>
      </w:pPr>
      <w:r>
        <w:t>Society of Indian Automobile Manufacturers (SIAM), Annual Reports.</w:t>
      </w:r>
    </w:p>
    <w:p>
      <w:pPr>
        <w:pStyle w:val="ListBullet"/>
      </w:pPr>
      <w:r>
        <w:t>Society of Indian Automobile Manufacturers (SIAM), Statistical Services.</w:t>
      </w:r>
    </w:p>
    <w:p>
      <w:pPr>
        <w:pStyle w:val="ListBullet"/>
      </w:pPr>
      <w:r>
        <w:t>Ministry of Heavy Industries / Vahan – Government electric vehicle registration information.</w:t>
      </w:r>
    </w:p>
    <w:p>
      <w:pPr>
        <w:pStyle w:val="Heading1"/>
      </w:pPr>
      <w:r>
        <w:rPr>
          <w:b/>
        </w:rPr>
        <w:t>Appendix A – Recommended Folder Structure</w:t>
      </w:r>
    </w:p>
    <w:p>
      <w:pPr>
        <w:ind w:left="360"/>
      </w:pPr>
      <w:r>
        <w:rPr>
          <w:rFonts w:ascii="Consolas" w:hAnsi="Consolas"/>
          <w:sz w:val="16"/>
        </w:rPr>
        <w:t>Week_2_Automotive/</w:t>
        <w:br/>
        <w:t>│</w:t>
        <w:br/>
        <w:t>├── automotive_data_raw_week2.csv</w:t>
        <w:br/>
        <w:t>├── automotive_data_cleaned_week2.csv</w:t>
        <w:br/>
        <w:t>├── Week_2_Automotive_Data_Acquisition_and_Cleaning.docx</w:t>
        <w:br/>
        <w:t>├── figures/</w:t>
        <w:br/>
        <w:t>│   ├── data_pipeline.png</w:t>
        <w:br/>
        <w:t>│   ├── quality_before_after.png</w:t>
        <w:br/>
        <w:t>│   └── validation_charts.png</w:t>
        <w:br/>
        <w:t>└── notebooks/</w:t>
        <w:br/>
        <w:t xml:space="preserve">    └── automotive_cleaning.ipynb</w:t>
      </w:r>
    </w:p>
    <w:sectPr w:rsidR="00FC693F" w:rsidRPr="0006063C" w:rsidSect="00034616">
      <w:footerReference w:type="default" r:id="rId13"/>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Week 2 – Automotive Data Acquisition and Cleaning | Samiksha Gurme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