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Customer Segmentation &amp; Retention Dashboard</w:t>
      </w:r>
    </w:p>
    <w:p>
      <w:pPr>
        <w:spacing w:after="300"/>
      </w:pPr>
      <w:r>
        <w:rPr>
          <w:i/>
          <w:iCs/>
          <w:color w:val="555555"/>
          <w:sz w:val="24"/>
          <w:szCs w:val="24"/>
        </w:rPr>
        <w:t xml:space="preserve">RFM Analysis on the Online Retail II (UCI) Dataset</w:t>
      </w:r>
    </w:p>
    <w:p>
      <w:pPr>
        <w:pBdr>
          <w:bottom w:val="single" w:color="AAAAAA" w:sz="6" w:space="1"/>
        </w:pBdr>
        <w:spacing w:after="200"/>
      </w:pPr>
    </w:p>
    <w:p>
      <w:pPr>
        <w:pStyle w:val="Heading1"/>
        <w:spacing w:after="150" w:before="300"/>
      </w:pPr>
      <w:r>
        <w:t xml:space="preserve">1. Project Overview</w:t>
      </w:r>
    </w:p>
    <w:p>
      <w:pPr>
        <w:spacing w:after="160"/>
      </w:pPr>
      <w:r>
        <w:t xml:space="preserve">This project segments customers of a UK-based online giftware retailer using Recency, Frequency, and Monetary (RFM) analysis, and translates those segments into specific, revenue-justified retention actions. The dataset covers two years of real transaction history (Dec 2009 - Dec 2011) from the UCI Online Retail II dataset, sourced via Kaggle.</w:t>
      </w:r>
    </w:p>
    <w:p>
      <w:pPr>
        <w:spacing w:after="160"/>
      </w:pPr>
      <w:r>
        <w:t xml:space="preserve">Pipeline: raw transactions were cleaned in Python (pandas) to remove cancellations, missing customer IDs, and invalid quantity/price rows, then aggregated into a per-customer RFM table, scored into quartiles, and grouped into five segments. The results were loaded into Power BI for an interactive dashboard.</w:t>
      </w:r>
    </w:p>
    <w:p>
      <w:pPr>
        <w:pStyle w:val="Heading1"/>
        <w:spacing w:after="150" w:before="300"/>
      </w:pPr>
      <w:r>
        <w:t xml:space="preserve">2. Headline Finding</w:t>
      </w:r>
    </w:p>
    <w:p>
      <w:pPr>
        <w:spacing w:after="160"/>
      </w:pPr>
      <w:r>
        <w:rPr>
          <w:b/>
          <w:bCs/>
          <w:sz w:val="24"/>
          <w:szCs w:val="24"/>
        </w:rPr>
        <w:t xml:space="preserve">Champions make up 29.6% of the customer base but generate 80.7% of total revenue.</w:t>
      </w:r>
    </w:p>
    <w:p>
      <w:pPr>
        <w:spacing w:after="160"/>
      </w:pPr>
      <w:r>
        <w:t xml:space="preserve">This is a sharper-than-typical Pareto pattern (closer to 30/80 than 80/20), meaning retention strategy should weight protection of the existing high-value base well above acquisition of new customers.</w:t>
      </w:r>
    </w:p>
    <w:p>
      <w:pPr>
        <w:pStyle w:val="Heading1"/>
        <w:spacing w:after="150" w:before="300"/>
      </w:pPr>
      <w:r>
        <w:t xml:space="preserve">3. Segment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300"/>
        <w:gridCol w:w="1300"/>
        <w:gridCol w:w="1400"/>
        <w:gridCol w:w="2000"/>
      </w:tblGrid>
      <w:tr>
        <w:trPr>
          <w:tblHeader/>
        </w:trPr>
        <w:tc>
          <w:tcPr>
            <w:tcW w:type="dxa" w:w="1700"/>
            <w:shd w:fill="1F4E79" w:val="clear"/>
            <w:tcMar>
              <w:top w:type="dxa" w:w="80"/>
              <w:left w:type="dxa" w:w="100"/>
              <w:bottom w:type="dxa" w:w="80"/>
              <w:right w:type="dxa" w:w="100"/>
            </w:tcMar>
          </w:tcPr>
          <w:p>
            <w:r>
              <w:rPr>
                <w:b/>
                <w:bCs/>
                <w:color w:val="FFFFFF"/>
              </w:rPr>
              <w:t xml:space="preserve">Segment</w:t>
            </w:r>
          </w:p>
        </w:tc>
        <w:tc>
          <w:tcPr>
            <w:tcW w:type="dxa" w:w="900"/>
            <w:shd w:fill="1F4E79" w:val="clear"/>
            <w:tcMar>
              <w:top w:type="dxa" w:w="80"/>
              <w:left w:type="dxa" w:w="100"/>
              <w:bottom w:type="dxa" w:w="80"/>
              <w:right w:type="dxa" w:w="100"/>
            </w:tcMar>
          </w:tcPr>
          <w:p>
            <w:r>
              <w:rPr>
                <w:b/>
                <w:bCs/>
                <w:color w:val="FFFFFF"/>
              </w:rPr>
              <w:t xml:space="preserve">Customers</w:t>
            </w:r>
          </w:p>
        </w:tc>
        <w:tc>
          <w:tcPr>
            <w:tcW w:type="dxa" w:w="1300"/>
            <w:shd w:fill="1F4E79" w:val="clear"/>
            <w:tcMar>
              <w:top w:type="dxa" w:w="80"/>
              <w:left w:type="dxa" w:w="100"/>
              <w:bottom w:type="dxa" w:w="80"/>
              <w:right w:type="dxa" w:w="100"/>
            </w:tcMar>
          </w:tcPr>
          <w:p>
            <w:r>
              <w:rPr>
                <w:b/>
                <w:bCs/>
                <w:color w:val="FFFFFF"/>
              </w:rPr>
              <w:t xml:space="preserve">Avg Recency (days)</w:t>
            </w:r>
          </w:p>
        </w:tc>
        <w:tc>
          <w:tcPr>
            <w:tcW w:type="dxa" w:w="1300"/>
            <w:shd w:fill="1F4E79" w:val="clear"/>
            <w:tcMar>
              <w:top w:type="dxa" w:w="80"/>
              <w:left w:type="dxa" w:w="100"/>
              <w:bottom w:type="dxa" w:w="80"/>
              <w:right w:type="dxa" w:w="100"/>
            </w:tcMar>
          </w:tcPr>
          <w:p>
            <w:r>
              <w:rPr>
                <w:b/>
                <w:bCs/>
                <w:color w:val="FFFFFF"/>
              </w:rPr>
              <w:t xml:space="preserve">Avg Frequency</w:t>
            </w:r>
          </w:p>
        </w:tc>
        <w:tc>
          <w:tcPr>
            <w:tcW w:type="dxa" w:w="1400"/>
            <w:shd w:fill="1F4E79" w:val="clear"/>
            <w:tcMar>
              <w:top w:type="dxa" w:w="80"/>
              <w:left w:type="dxa" w:w="100"/>
              <w:bottom w:type="dxa" w:w="80"/>
              <w:right w:type="dxa" w:w="100"/>
            </w:tcMar>
          </w:tcPr>
          <w:p>
            <w:r>
              <w:rPr>
                <w:b/>
                <w:bCs/>
                <w:color w:val="FFFFFF"/>
              </w:rPr>
              <w:t xml:space="preserve">Avg Order Value (₹)</w:t>
            </w:r>
          </w:p>
        </w:tc>
        <w:tc>
          <w:tcPr>
            <w:tcW w:type="dxa" w:w="2000"/>
            <w:shd w:fill="1F4E79" w:val="clear"/>
            <w:tcMar>
              <w:top w:type="dxa" w:w="80"/>
              <w:left w:type="dxa" w:w="100"/>
              <w:bottom w:type="dxa" w:w="80"/>
              <w:right w:type="dxa" w:w="100"/>
            </w:tcMar>
          </w:tcPr>
          <w:p>
            <w:r>
              <w:rPr>
                <w:b/>
                <w:bCs/>
                <w:color w:val="FFFFFF"/>
              </w:rPr>
              <w:t xml:space="preserve">Revenue Share</w:t>
            </w:r>
          </w:p>
        </w:tc>
      </w:tr>
      <w:tr>
        <w:tc>
          <w:tcPr>
            <w:tcW w:type="dxa" w:w="1700"/>
            <w:tcMar>
              <w:top w:type="dxa" w:w="80"/>
              <w:left w:type="dxa" w:w="100"/>
              <w:bottom w:type="dxa" w:w="80"/>
              <w:right w:type="dxa" w:w="100"/>
            </w:tcMar>
          </w:tcPr>
          <w:p>
            <w:r>
              <w:rPr>
                <w:b/>
                <w:bCs/>
                <w:color w:val="000000"/>
              </w:rPr>
              <w:t xml:space="preserve">Champions</w:t>
            </w:r>
          </w:p>
        </w:tc>
        <w:tc>
          <w:tcPr>
            <w:tcW w:type="dxa" w:w="900"/>
            <w:tcMar>
              <w:top w:type="dxa" w:w="80"/>
              <w:left w:type="dxa" w:w="100"/>
              <w:bottom w:type="dxa" w:w="80"/>
              <w:right w:type="dxa" w:w="100"/>
            </w:tcMar>
          </w:tcPr>
          <w:p>
            <w:r>
              <w:rPr>
                <w:b w:val="false"/>
                <w:bCs w:val="false"/>
                <w:color w:val="000000"/>
              </w:rPr>
              <w:t xml:space="preserve">1,740</w:t>
            </w:r>
          </w:p>
        </w:tc>
        <w:tc>
          <w:tcPr>
            <w:tcW w:type="dxa" w:w="1300"/>
            <w:tcMar>
              <w:top w:type="dxa" w:w="80"/>
              <w:left w:type="dxa" w:w="100"/>
              <w:bottom w:type="dxa" w:w="80"/>
              <w:right w:type="dxa" w:w="100"/>
            </w:tcMar>
          </w:tcPr>
          <w:p>
            <w:r>
              <w:rPr>
                <w:b w:val="false"/>
                <w:bCs w:val="false"/>
                <w:color w:val="000000"/>
              </w:rPr>
              <w:t xml:space="preserve">37.2</w:t>
            </w:r>
          </w:p>
        </w:tc>
        <w:tc>
          <w:tcPr>
            <w:tcW w:type="dxa" w:w="1300"/>
            <w:tcMar>
              <w:top w:type="dxa" w:w="80"/>
              <w:left w:type="dxa" w:w="100"/>
              <w:bottom w:type="dxa" w:w="80"/>
              <w:right w:type="dxa" w:w="100"/>
            </w:tcMar>
          </w:tcPr>
          <w:p>
            <w:r>
              <w:rPr>
                <w:b w:val="false"/>
                <w:bCs w:val="false"/>
                <w:color w:val="000000"/>
              </w:rPr>
              <w:t xml:space="preserve">15.2</w:t>
            </w:r>
          </w:p>
        </w:tc>
        <w:tc>
          <w:tcPr>
            <w:tcW w:type="dxa" w:w="1400"/>
            <w:tcMar>
              <w:top w:type="dxa" w:w="80"/>
              <w:left w:type="dxa" w:w="100"/>
              <w:bottom w:type="dxa" w:w="80"/>
              <w:right w:type="dxa" w:w="100"/>
            </w:tcMar>
          </w:tcPr>
          <w:p>
            <w:r>
              <w:rPr>
                <w:b w:val="false"/>
                <w:bCs w:val="false"/>
                <w:color w:val="000000"/>
              </w:rPr>
              <w:t xml:space="preserve">8,056</w:t>
            </w:r>
          </w:p>
        </w:tc>
        <w:tc>
          <w:tcPr>
            <w:tcW w:type="dxa" w:w="2000"/>
            <w:tcMar>
              <w:top w:type="dxa" w:w="80"/>
              <w:left w:type="dxa" w:w="100"/>
              <w:bottom w:type="dxa" w:w="80"/>
              <w:right w:type="dxa" w:w="100"/>
            </w:tcMar>
          </w:tcPr>
          <w:p>
            <w:r>
              <w:rPr>
                <w:b w:val="false"/>
                <w:bCs w:val="false"/>
                <w:color w:val="000000"/>
              </w:rPr>
              <w:t xml:space="preserve">80.7%</w:t>
            </w:r>
          </w:p>
        </w:tc>
      </w:tr>
      <w:tr>
        <w:tc>
          <w:tcPr>
            <w:tcW w:type="dxa" w:w="1700"/>
            <w:tcMar>
              <w:top w:type="dxa" w:w="80"/>
              <w:left w:type="dxa" w:w="100"/>
              <w:bottom w:type="dxa" w:w="80"/>
              <w:right w:type="dxa" w:w="100"/>
            </w:tcMar>
          </w:tcPr>
          <w:p>
            <w:r>
              <w:rPr>
                <w:b/>
                <w:bCs/>
                <w:color w:val="000000"/>
              </w:rPr>
              <w:t xml:space="preserve">Loyal Customers</w:t>
            </w:r>
          </w:p>
        </w:tc>
        <w:tc>
          <w:tcPr>
            <w:tcW w:type="dxa" w:w="900"/>
            <w:tcMar>
              <w:top w:type="dxa" w:w="80"/>
              <w:left w:type="dxa" w:w="100"/>
              <w:bottom w:type="dxa" w:w="80"/>
              <w:right w:type="dxa" w:w="100"/>
            </w:tcMar>
          </w:tcPr>
          <w:p>
            <w:r>
              <w:rPr>
                <w:b w:val="false"/>
                <w:bCs w:val="false"/>
                <w:color w:val="000000"/>
              </w:rPr>
              <w:t xml:space="preserve">1,186</w:t>
            </w:r>
          </w:p>
        </w:tc>
        <w:tc>
          <w:tcPr>
            <w:tcW w:type="dxa" w:w="1300"/>
            <w:tcMar>
              <w:top w:type="dxa" w:w="80"/>
              <w:left w:type="dxa" w:w="100"/>
              <w:bottom w:type="dxa" w:w="80"/>
              <w:right w:type="dxa" w:w="100"/>
            </w:tcMar>
          </w:tcPr>
          <w:p>
            <w:r>
              <w:rPr>
                <w:b w:val="false"/>
                <w:bCs w:val="false"/>
                <w:color w:val="000000"/>
              </w:rPr>
              <w:t xml:space="preserve">116.6</w:t>
            </w:r>
          </w:p>
        </w:tc>
        <w:tc>
          <w:tcPr>
            <w:tcW w:type="dxa" w:w="1300"/>
            <w:tcMar>
              <w:top w:type="dxa" w:w="80"/>
              <w:left w:type="dxa" w:w="100"/>
              <w:bottom w:type="dxa" w:w="80"/>
              <w:right w:type="dxa" w:w="100"/>
            </w:tcMar>
          </w:tcPr>
          <w:p>
            <w:r>
              <w:rPr>
                <w:b w:val="false"/>
                <w:bCs w:val="false"/>
                <w:color w:val="000000"/>
              </w:rPr>
              <w:t xml:space="preserve">4.4</w:t>
            </w:r>
          </w:p>
        </w:tc>
        <w:tc>
          <w:tcPr>
            <w:tcW w:type="dxa" w:w="1400"/>
            <w:tcMar>
              <w:top w:type="dxa" w:w="80"/>
              <w:left w:type="dxa" w:w="100"/>
              <w:bottom w:type="dxa" w:w="80"/>
              <w:right w:type="dxa" w:w="100"/>
            </w:tcMar>
          </w:tcPr>
          <w:p>
            <w:r>
              <w:rPr>
                <w:b w:val="false"/>
                <w:bCs w:val="false"/>
                <w:color w:val="000000"/>
              </w:rPr>
              <w:t xml:space="preserve">1,586</w:t>
            </w:r>
          </w:p>
        </w:tc>
        <w:tc>
          <w:tcPr>
            <w:tcW w:type="dxa" w:w="2000"/>
            <w:tcMar>
              <w:top w:type="dxa" w:w="80"/>
              <w:left w:type="dxa" w:w="100"/>
              <w:bottom w:type="dxa" w:w="80"/>
              <w:right w:type="dxa" w:w="100"/>
            </w:tcMar>
          </w:tcPr>
          <w:p>
            <w:r>
              <w:rPr>
                <w:b w:val="false"/>
                <w:bCs w:val="false"/>
                <w:color w:val="000000"/>
              </w:rPr>
              <w:t xml:space="preserve">10.8%</w:t>
            </w:r>
          </w:p>
        </w:tc>
      </w:tr>
      <w:tr>
        <w:tc>
          <w:tcPr>
            <w:tcW w:type="dxa" w:w="1700"/>
            <w:tcMar>
              <w:top w:type="dxa" w:w="80"/>
              <w:left w:type="dxa" w:w="100"/>
              <w:bottom w:type="dxa" w:w="80"/>
              <w:right w:type="dxa" w:w="100"/>
            </w:tcMar>
          </w:tcPr>
          <w:p>
            <w:r>
              <w:rPr>
                <w:b/>
                <w:bCs/>
                <w:color w:val="000000"/>
              </w:rPr>
              <w:t xml:space="preserve">Potential Loyalist</w:t>
            </w:r>
          </w:p>
        </w:tc>
        <w:tc>
          <w:tcPr>
            <w:tcW w:type="dxa" w:w="900"/>
            <w:tcMar>
              <w:top w:type="dxa" w:w="80"/>
              <w:left w:type="dxa" w:w="100"/>
              <w:bottom w:type="dxa" w:w="80"/>
              <w:right w:type="dxa" w:w="100"/>
            </w:tcMar>
          </w:tcPr>
          <w:p>
            <w:r>
              <w:rPr>
                <w:b w:val="false"/>
                <w:bCs w:val="false"/>
                <w:color w:val="000000"/>
              </w:rPr>
              <w:t xml:space="preserve">1,216</w:t>
            </w:r>
          </w:p>
        </w:tc>
        <w:tc>
          <w:tcPr>
            <w:tcW w:type="dxa" w:w="1300"/>
            <w:tcMar>
              <w:top w:type="dxa" w:w="80"/>
              <w:left w:type="dxa" w:w="100"/>
              <w:bottom w:type="dxa" w:w="80"/>
              <w:right w:type="dxa" w:w="100"/>
            </w:tcMar>
          </w:tcPr>
          <w:p>
            <w:r>
              <w:rPr>
                <w:b w:val="false"/>
                <w:bCs w:val="false"/>
                <w:color w:val="000000"/>
              </w:rPr>
              <w:t xml:space="preserve">213.3</w:t>
            </w:r>
          </w:p>
        </w:tc>
        <w:tc>
          <w:tcPr>
            <w:tcW w:type="dxa" w:w="1300"/>
            <w:tcMar>
              <w:top w:type="dxa" w:w="80"/>
              <w:left w:type="dxa" w:w="100"/>
              <w:bottom w:type="dxa" w:w="80"/>
              <w:right w:type="dxa" w:w="100"/>
            </w:tcMar>
          </w:tcPr>
          <w:p>
            <w:r>
              <w:rPr>
                <w:b w:val="false"/>
                <w:bCs w:val="false"/>
                <w:color w:val="000000"/>
              </w:rPr>
              <w:t xml:space="preserve">2.5</w:t>
            </w:r>
          </w:p>
        </w:tc>
        <w:tc>
          <w:tcPr>
            <w:tcW w:type="dxa" w:w="1400"/>
            <w:tcMar>
              <w:top w:type="dxa" w:w="80"/>
              <w:left w:type="dxa" w:w="100"/>
              <w:bottom w:type="dxa" w:w="80"/>
              <w:right w:type="dxa" w:w="100"/>
            </w:tcMar>
          </w:tcPr>
          <w:p>
            <w:r>
              <w:rPr>
                <w:b w:val="false"/>
                <w:bCs w:val="false"/>
                <w:color w:val="000000"/>
              </w:rPr>
              <w:t xml:space="preserve">796</w:t>
            </w:r>
          </w:p>
        </w:tc>
        <w:tc>
          <w:tcPr>
            <w:tcW w:type="dxa" w:w="2000"/>
            <w:tcMar>
              <w:top w:type="dxa" w:w="80"/>
              <w:left w:type="dxa" w:w="100"/>
              <w:bottom w:type="dxa" w:w="80"/>
              <w:right w:type="dxa" w:w="100"/>
            </w:tcMar>
          </w:tcPr>
          <w:p>
            <w:r>
              <w:rPr>
                <w:b w:val="false"/>
                <w:bCs w:val="false"/>
                <w:color w:val="000000"/>
              </w:rPr>
              <w:t xml:space="preserve">5.6%</w:t>
            </w:r>
          </w:p>
        </w:tc>
      </w:tr>
      <w:tr>
        <w:tc>
          <w:tcPr>
            <w:tcW w:type="dxa" w:w="1700"/>
            <w:tcMar>
              <w:top w:type="dxa" w:w="80"/>
              <w:left w:type="dxa" w:w="100"/>
              <w:bottom w:type="dxa" w:w="80"/>
              <w:right w:type="dxa" w:w="100"/>
            </w:tcMar>
          </w:tcPr>
          <w:p>
            <w:r>
              <w:rPr>
                <w:b/>
                <w:bCs/>
                <w:color w:val="000000"/>
              </w:rPr>
              <w:t xml:space="preserve">At Risk</w:t>
            </w:r>
          </w:p>
        </w:tc>
        <w:tc>
          <w:tcPr>
            <w:tcW w:type="dxa" w:w="900"/>
            <w:tcMar>
              <w:top w:type="dxa" w:w="80"/>
              <w:left w:type="dxa" w:w="100"/>
              <w:bottom w:type="dxa" w:w="80"/>
              <w:right w:type="dxa" w:w="100"/>
            </w:tcMar>
          </w:tcPr>
          <w:p>
            <w:r>
              <w:rPr>
                <w:b w:val="false"/>
                <w:bCs w:val="false"/>
                <w:color w:val="000000"/>
              </w:rPr>
              <w:t xml:space="preserve">1,165</w:t>
            </w:r>
          </w:p>
        </w:tc>
        <w:tc>
          <w:tcPr>
            <w:tcW w:type="dxa" w:w="1300"/>
            <w:tcMar>
              <w:top w:type="dxa" w:w="80"/>
              <w:left w:type="dxa" w:w="100"/>
              <w:bottom w:type="dxa" w:w="80"/>
              <w:right w:type="dxa" w:w="100"/>
            </w:tcMar>
          </w:tcPr>
          <w:p>
            <w:r>
              <w:rPr>
                <w:b w:val="false"/>
                <w:bCs w:val="false"/>
                <w:color w:val="000000"/>
              </w:rPr>
              <w:t xml:space="preserve">350.7</w:t>
            </w:r>
          </w:p>
        </w:tc>
        <w:tc>
          <w:tcPr>
            <w:tcW w:type="dxa" w:w="1300"/>
            <w:tcMar>
              <w:top w:type="dxa" w:w="80"/>
              <w:left w:type="dxa" w:w="100"/>
              <w:bottom w:type="dxa" w:w="80"/>
              <w:right w:type="dxa" w:w="100"/>
            </w:tcMar>
          </w:tcPr>
          <w:p>
            <w:r>
              <w:rPr>
                <w:b w:val="false"/>
                <w:bCs w:val="false"/>
                <w:color w:val="000000"/>
              </w:rPr>
              <w:t xml:space="preserve">1.4</w:t>
            </w:r>
          </w:p>
        </w:tc>
        <w:tc>
          <w:tcPr>
            <w:tcW w:type="dxa" w:w="1400"/>
            <w:tcMar>
              <w:top w:type="dxa" w:w="80"/>
              <w:left w:type="dxa" w:w="100"/>
              <w:bottom w:type="dxa" w:w="80"/>
              <w:right w:type="dxa" w:w="100"/>
            </w:tcMar>
          </w:tcPr>
          <w:p>
            <w:r>
              <w:rPr>
                <w:b w:val="false"/>
                <w:bCs w:val="false"/>
                <w:color w:val="000000"/>
              </w:rPr>
              <w:t xml:space="preserve">350</w:t>
            </w:r>
          </w:p>
        </w:tc>
        <w:tc>
          <w:tcPr>
            <w:tcW w:type="dxa" w:w="2000"/>
            <w:tcMar>
              <w:top w:type="dxa" w:w="80"/>
              <w:left w:type="dxa" w:w="100"/>
              <w:bottom w:type="dxa" w:w="80"/>
              <w:right w:type="dxa" w:w="100"/>
            </w:tcMar>
          </w:tcPr>
          <w:p>
            <w:r>
              <w:rPr>
                <w:b w:val="false"/>
                <w:bCs w:val="false"/>
                <w:color w:val="000000"/>
              </w:rPr>
              <w:t xml:space="preserve">2.3%</w:t>
            </w:r>
          </w:p>
        </w:tc>
      </w:tr>
      <w:tr>
        <w:tc>
          <w:tcPr>
            <w:tcW w:type="dxa" w:w="1700"/>
            <w:tcMar>
              <w:top w:type="dxa" w:w="80"/>
              <w:left w:type="dxa" w:w="100"/>
              <w:bottom w:type="dxa" w:w="80"/>
              <w:right w:type="dxa" w:w="100"/>
            </w:tcMar>
          </w:tcPr>
          <w:p>
            <w:r>
              <w:rPr>
                <w:b/>
                <w:bCs/>
                <w:color w:val="000000"/>
              </w:rPr>
              <w:t xml:space="preserve">Lost</w:t>
            </w:r>
          </w:p>
        </w:tc>
        <w:tc>
          <w:tcPr>
            <w:tcW w:type="dxa" w:w="900"/>
            <w:tcMar>
              <w:top w:type="dxa" w:w="80"/>
              <w:left w:type="dxa" w:w="100"/>
              <w:bottom w:type="dxa" w:w="80"/>
              <w:right w:type="dxa" w:w="100"/>
            </w:tcMar>
          </w:tcPr>
          <w:p>
            <w:r>
              <w:rPr>
                <w:b w:val="false"/>
                <w:bCs w:val="false"/>
                <w:color w:val="000000"/>
              </w:rPr>
              <w:t xml:space="preserve">571</w:t>
            </w:r>
          </w:p>
        </w:tc>
        <w:tc>
          <w:tcPr>
            <w:tcW w:type="dxa" w:w="1300"/>
            <w:tcMar>
              <w:top w:type="dxa" w:w="80"/>
              <w:left w:type="dxa" w:w="100"/>
              <w:bottom w:type="dxa" w:w="80"/>
              <w:right w:type="dxa" w:w="100"/>
            </w:tcMar>
          </w:tcPr>
          <w:p>
            <w:r>
              <w:rPr>
                <w:b w:val="false"/>
                <w:bCs w:val="false"/>
                <w:color w:val="000000"/>
              </w:rPr>
              <w:t xml:space="preserve">547.2</w:t>
            </w:r>
          </w:p>
        </w:tc>
        <w:tc>
          <w:tcPr>
            <w:tcW w:type="dxa" w:w="1300"/>
            <w:tcMar>
              <w:top w:type="dxa" w:w="80"/>
              <w:left w:type="dxa" w:w="100"/>
              <w:bottom w:type="dxa" w:w="80"/>
              <w:right w:type="dxa" w:w="100"/>
            </w:tcMar>
          </w:tcPr>
          <w:p>
            <w:r>
              <w:rPr>
                <w:b w:val="false"/>
                <w:bCs w:val="false"/>
                <w:color w:val="000000"/>
              </w:rPr>
              <w:t xml:space="preserve">1.0</w:t>
            </w:r>
          </w:p>
        </w:tc>
        <w:tc>
          <w:tcPr>
            <w:tcW w:type="dxa" w:w="1400"/>
            <w:tcMar>
              <w:top w:type="dxa" w:w="80"/>
              <w:left w:type="dxa" w:w="100"/>
              <w:bottom w:type="dxa" w:w="80"/>
              <w:right w:type="dxa" w:w="100"/>
            </w:tcMar>
          </w:tcPr>
          <w:p>
            <w:r>
              <w:rPr>
                <w:b w:val="false"/>
                <w:bCs w:val="false"/>
                <w:color w:val="000000"/>
              </w:rPr>
              <w:t xml:space="preserve">175</w:t>
            </w:r>
          </w:p>
        </w:tc>
        <w:tc>
          <w:tcPr>
            <w:tcW w:type="dxa" w:w="2000"/>
            <w:tcMar>
              <w:top w:type="dxa" w:w="80"/>
              <w:left w:type="dxa" w:w="100"/>
              <w:bottom w:type="dxa" w:w="80"/>
              <w:right w:type="dxa" w:w="100"/>
            </w:tcMar>
          </w:tcPr>
          <w:p>
            <w:r>
              <w:rPr>
                <w:b w:val="false"/>
                <w:bCs w:val="false"/>
                <w:color w:val="000000"/>
              </w:rPr>
              <w:t xml:space="preserve">0.6%</w:t>
            </w:r>
          </w:p>
        </w:tc>
      </w:tr>
    </w:tbl>
    <w:p>
      <w:r>
        <w:br w:type="page"/>
      </w:r>
    </w:p>
    <w:p>
      <w:pPr>
        <w:pStyle w:val="Heading1"/>
        <w:spacing w:after="150" w:before="300"/>
      </w:pPr>
      <w:r>
        <w:t xml:space="preserve">4. Segment Definitions</w:t>
      </w:r>
    </w:p>
    <w:p>
      <w:pPr>
        <w:pStyle w:val="ListParagraph"/>
        <w:numPr>
          <w:ilvl w:val="0"/>
          <w:numId w:val="1"/>
        </w:numPr>
        <w:spacing w:after="80"/>
      </w:pPr>
      <w:r>
        <w:rPr>
          <w:b/>
          <w:bCs/>
        </w:rPr>
        <w:t xml:space="preserve">Champions: Top quartile across Recency, Frequency, and Monetary (RFM score ≥ 10).</w:t>
      </w:r>
    </w:p>
    <w:p>
      <w:pPr>
        <w:pStyle w:val="ListParagraph"/>
        <w:numPr>
          <w:ilvl w:val="0"/>
          <w:numId w:val="1"/>
        </w:numPr>
        <w:spacing w:after="80"/>
      </w:pPr>
      <w:r>
        <w:rPr>
          <w:b w:val="false"/>
          <w:bCs w:val="false"/>
        </w:rPr>
        <w:t xml:space="preserve">Loyal Customers: Frequent, reasonably recent buyers (RFM score 8-9).</w:t>
      </w:r>
    </w:p>
    <w:p>
      <w:pPr>
        <w:pStyle w:val="ListParagraph"/>
        <w:numPr>
          <w:ilvl w:val="0"/>
          <w:numId w:val="1"/>
        </w:numPr>
        <w:spacing w:after="80"/>
      </w:pPr>
      <w:r>
        <w:rPr>
          <w:b w:val="false"/>
          <w:bCs w:val="false"/>
        </w:rPr>
        <w:t xml:space="preserve">Potential Loyalist: Moderate engagement, room to convert upward (RFM score 6-7).</w:t>
      </w:r>
    </w:p>
    <w:p>
      <w:pPr>
        <w:pStyle w:val="ListParagraph"/>
        <w:numPr>
          <w:ilvl w:val="0"/>
          <w:numId w:val="1"/>
        </w:numPr>
        <w:spacing w:after="80"/>
      </w:pPr>
      <w:r>
        <w:rPr>
          <w:b w:val="false"/>
          <w:bCs w:val="false"/>
        </w:rPr>
        <w:t xml:space="preserve">At Risk: Declining recency and frequency, needs intervention (RFM score 4-5).</w:t>
      </w:r>
    </w:p>
    <w:p>
      <w:pPr>
        <w:pStyle w:val="ListParagraph"/>
        <w:numPr>
          <w:ilvl w:val="0"/>
          <w:numId w:val="1"/>
        </w:numPr>
        <w:spacing w:after="80"/>
      </w:pPr>
      <w:r>
        <w:rPr>
          <w:b w:val="false"/>
          <w:bCs w:val="false"/>
        </w:rPr>
        <w:t xml:space="preserve">Lost: Long-inactive, typically one-time buyers (RFM score &lt; 4).</w:t>
      </w:r>
    </w:p>
    <w:p>
      <w:pPr>
        <w:pStyle w:val="Heading1"/>
        <w:spacing w:after="150" w:before="300"/>
      </w:pPr>
      <w:r>
        <w:t xml:space="preserve">5. Business Recommendations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3450"/>
        <w:gridCol w:w="3450"/>
      </w:tblGrid>
      <w:tr>
        <w:trPr>
          <w:tblHeader/>
        </w:trPr>
        <w:tc>
          <w:tcPr>
            <w:tcW w:type="dxa" w:w="1700"/>
            <w:shd w:fill="1F4E79" w:val="clear"/>
            <w:tcMar>
              <w:top w:type="dxa" w:w="80"/>
              <w:left w:type="dxa" w:w="100"/>
              <w:bottom w:type="dxa" w:w="80"/>
              <w:right w:type="dxa" w:w="100"/>
            </w:tcMar>
          </w:tcPr>
          <w:p>
            <w:r>
              <w:rPr>
                <w:b/>
                <w:bCs/>
                <w:color w:val="FFFFFF"/>
              </w:rPr>
              <w:t xml:space="preserve">Segment</w:t>
            </w:r>
          </w:p>
        </w:tc>
        <w:tc>
          <w:tcPr>
            <w:tcW w:type="dxa" w:w="3450"/>
            <w:shd w:fill="1F4E79" w:val="clear"/>
            <w:tcMar>
              <w:top w:type="dxa" w:w="80"/>
              <w:left w:type="dxa" w:w="100"/>
              <w:bottom w:type="dxa" w:w="80"/>
              <w:right w:type="dxa" w:w="100"/>
            </w:tcMar>
          </w:tcPr>
          <w:p>
            <w:r>
              <w:rPr>
                <w:b/>
                <w:bCs/>
                <w:color w:val="FFFFFF"/>
              </w:rPr>
              <w:t xml:space="preserve">Signal</w:t>
            </w:r>
          </w:p>
        </w:tc>
        <w:tc>
          <w:tcPr>
            <w:tcW w:type="dxa" w:w="3450"/>
            <w:shd w:fill="1F4E79" w:val="clear"/>
            <w:tcMar>
              <w:top w:type="dxa" w:w="80"/>
              <w:left w:type="dxa" w:w="100"/>
              <w:bottom w:type="dxa" w:w="80"/>
              <w:right w:type="dxa" w:w="100"/>
            </w:tcMar>
          </w:tcPr>
          <w:p>
            <w:r>
              <w:rPr>
                <w:b/>
                <w:bCs/>
                <w:color w:val="FFFFFF"/>
              </w:rPr>
              <w:t xml:space="preserve">Recommended Action</w:t>
            </w:r>
          </w:p>
        </w:tc>
      </w:tr>
      <w:tr>
        <w:tc>
          <w:tcPr>
            <w:tcW w:type="dxa" w:w="1700"/>
            <w:tcMar>
              <w:top w:type="dxa" w:w="80"/>
              <w:left w:type="dxa" w:w="100"/>
              <w:bottom w:type="dxa" w:w="80"/>
              <w:right w:type="dxa" w:w="100"/>
            </w:tcMar>
          </w:tcPr>
          <w:p>
            <w:r>
              <w:rPr>
                <w:b/>
                <w:bCs/>
                <w:color w:val="000000"/>
              </w:rPr>
              <w:t xml:space="preserve">Champions</w:t>
            </w:r>
          </w:p>
        </w:tc>
        <w:tc>
          <w:tcPr>
            <w:tcW w:type="dxa" w:w="3450"/>
            <w:tcMar>
              <w:top w:type="dxa" w:w="80"/>
              <w:left w:type="dxa" w:w="100"/>
              <w:bottom w:type="dxa" w:w="80"/>
              <w:right w:type="dxa" w:w="100"/>
            </w:tcMar>
          </w:tcPr>
          <w:p>
            <w:r>
              <w:rPr>
                <w:b w:val="false"/>
                <w:bCs w:val="false"/>
                <w:color w:val="000000"/>
              </w:rPr>
              <w:t xml:space="preserve">Buy every ~37 days, avg order ₹8,056 — 80.7% of all revenue from 29.6% of customers</w:t>
            </w:r>
          </w:p>
        </w:tc>
        <w:tc>
          <w:tcPr>
            <w:tcW w:type="dxa" w:w="3450"/>
            <w:tcMar>
              <w:top w:type="dxa" w:w="80"/>
              <w:left w:type="dxa" w:w="100"/>
              <w:bottom w:type="dxa" w:w="80"/>
              <w:right w:type="dxa" w:w="100"/>
            </w:tcMar>
          </w:tcPr>
          <w:p>
            <w:r>
              <w:rPr>
                <w:b w:val="false"/>
                <w:bCs w:val="false"/>
                <w:color w:val="000000"/>
              </w:rPr>
              <w:t xml:space="preserve">Protect first: VIP tier, early access to new stock, priority support. Retention here matters more than acquisition anywhere else.</w:t>
            </w:r>
          </w:p>
        </w:tc>
      </w:tr>
      <w:tr>
        <w:tc>
          <w:tcPr>
            <w:tcW w:type="dxa" w:w="1700"/>
            <w:tcMar>
              <w:top w:type="dxa" w:w="80"/>
              <w:left w:type="dxa" w:w="100"/>
              <w:bottom w:type="dxa" w:w="80"/>
              <w:right w:type="dxa" w:w="100"/>
            </w:tcMar>
          </w:tcPr>
          <w:p>
            <w:r>
              <w:rPr>
                <w:b/>
                <w:bCs/>
                <w:color w:val="000000"/>
              </w:rPr>
              <w:t xml:space="preserve">Loyal Customers</w:t>
            </w:r>
          </w:p>
        </w:tc>
        <w:tc>
          <w:tcPr>
            <w:tcW w:type="dxa" w:w="3450"/>
            <w:tcMar>
              <w:top w:type="dxa" w:w="80"/>
              <w:left w:type="dxa" w:w="100"/>
              <w:bottom w:type="dxa" w:w="80"/>
              <w:right w:type="dxa" w:w="100"/>
            </w:tcMar>
          </w:tcPr>
          <w:p>
            <w:r>
              <w:rPr>
                <w:b w:val="false"/>
                <w:bCs w:val="false"/>
                <w:color w:val="000000"/>
              </w:rPr>
              <w:t xml:space="preserve">Buy every ~117 days, avg order ₹1,586</w:t>
            </w:r>
          </w:p>
        </w:tc>
        <w:tc>
          <w:tcPr>
            <w:tcW w:type="dxa" w:w="3450"/>
            <w:tcMar>
              <w:top w:type="dxa" w:w="80"/>
              <w:left w:type="dxa" w:w="100"/>
              <w:bottom w:type="dxa" w:w="80"/>
              <w:right w:type="dxa" w:w="100"/>
            </w:tcMar>
          </w:tcPr>
          <w:p>
            <w:r>
              <w:rPr>
                <w:b w:val="false"/>
                <w:bCs w:val="false"/>
                <w:color w:val="000000"/>
              </w:rPr>
              <w:t xml:space="preserve">Push toward Champion behaviour with bundle offers and spend-threshold unlocks to raise order frequency.</w:t>
            </w:r>
          </w:p>
        </w:tc>
      </w:tr>
      <w:tr>
        <w:tc>
          <w:tcPr>
            <w:tcW w:type="dxa" w:w="1700"/>
            <w:tcMar>
              <w:top w:type="dxa" w:w="80"/>
              <w:left w:type="dxa" w:w="100"/>
              <w:bottom w:type="dxa" w:w="80"/>
              <w:right w:type="dxa" w:w="100"/>
            </w:tcMar>
          </w:tcPr>
          <w:p>
            <w:r>
              <w:rPr>
                <w:b/>
                <w:bCs/>
                <w:color w:val="000000"/>
              </w:rPr>
              <w:t xml:space="preserve">Potential Loyalist</w:t>
            </w:r>
          </w:p>
        </w:tc>
        <w:tc>
          <w:tcPr>
            <w:tcW w:type="dxa" w:w="3450"/>
            <w:tcMar>
              <w:top w:type="dxa" w:w="80"/>
              <w:left w:type="dxa" w:w="100"/>
              <w:bottom w:type="dxa" w:w="80"/>
              <w:right w:type="dxa" w:w="100"/>
            </w:tcMar>
          </w:tcPr>
          <w:p>
            <w:r>
              <w:rPr>
                <w:b w:val="false"/>
                <w:bCs w:val="false"/>
                <w:color w:val="000000"/>
              </w:rPr>
              <w:t xml:space="preserve">213 days since last order, only ~2.5 orders lifetime</w:t>
            </w:r>
          </w:p>
        </w:tc>
        <w:tc>
          <w:tcPr>
            <w:tcW w:type="dxa" w:w="3450"/>
            <w:tcMar>
              <w:top w:type="dxa" w:w="80"/>
              <w:left w:type="dxa" w:w="100"/>
              <w:bottom w:type="dxa" w:w="80"/>
              <w:right w:type="dxa" w:w="100"/>
            </w:tcMar>
          </w:tcPr>
          <w:p>
            <w:r>
              <w:rPr>
                <w:b w:val="false"/>
                <w:bCs w:val="false"/>
                <w:color w:val="000000"/>
              </w:rPr>
              <w:t xml:space="preserve">Onboarding-style re-engagement: second-purchase discount, recommendations based on first buy.</w:t>
            </w:r>
          </w:p>
        </w:tc>
      </w:tr>
      <w:tr>
        <w:tc>
          <w:tcPr>
            <w:tcW w:type="dxa" w:w="1700"/>
            <w:tcMar>
              <w:top w:type="dxa" w:w="80"/>
              <w:left w:type="dxa" w:w="100"/>
              <w:bottom w:type="dxa" w:w="80"/>
              <w:right w:type="dxa" w:w="100"/>
            </w:tcMar>
          </w:tcPr>
          <w:p>
            <w:r>
              <w:rPr>
                <w:b/>
                <w:bCs/>
                <w:color w:val="000000"/>
              </w:rPr>
              <w:t xml:space="preserve">At Risk</w:t>
            </w:r>
          </w:p>
        </w:tc>
        <w:tc>
          <w:tcPr>
            <w:tcW w:type="dxa" w:w="3450"/>
            <w:tcMar>
              <w:top w:type="dxa" w:w="80"/>
              <w:left w:type="dxa" w:w="100"/>
              <w:bottom w:type="dxa" w:w="80"/>
              <w:right w:type="dxa" w:w="100"/>
            </w:tcMar>
          </w:tcPr>
          <w:p>
            <w:r>
              <w:rPr>
                <w:b w:val="false"/>
                <w:bCs w:val="false"/>
                <w:color w:val="000000"/>
              </w:rPr>
              <w:t xml:space="preserve">351 days silent, ~1.4 orders lifetime</w:t>
            </w:r>
          </w:p>
        </w:tc>
        <w:tc>
          <w:tcPr>
            <w:tcW w:type="dxa" w:w="3450"/>
            <w:tcMar>
              <w:top w:type="dxa" w:w="80"/>
              <w:left w:type="dxa" w:w="100"/>
              <w:bottom w:type="dxa" w:w="80"/>
              <w:right w:type="dxa" w:w="100"/>
            </w:tcMar>
          </w:tcPr>
          <w:p>
            <w:r>
              <w:rPr>
                <w:b w:val="false"/>
                <w:bCs w:val="false"/>
                <w:color w:val="000000"/>
              </w:rPr>
              <w:t xml:space="preserve">Time-boxed win-back email campaign now — low cost, meaningful upside if even 10-15% return.</w:t>
            </w:r>
          </w:p>
        </w:tc>
      </w:tr>
      <w:tr>
        <w:tc>
          <w:tcPr>
            <w:tcW w:type="dxa" w:w="1700"/>
            <w:tcMar>
              <w:top w:type="dxa" w:w="80"/>
              <w:left w:type="dxa" w:w="100"/>
              <w:bottom w:type="dxa" w:w="80"/>
              <w:right w:type="dxa" w:w="100"/>
            </w:tcMar>
          </w:tcPr>
          <w:p>
            <w:r>
              <w:rPr>
                <w:b/>
                <w:bCs/>
                <w:color w:val="000000"/>
              </w:rPr>
              <w:t xml:space="preserve">Lost</w:t>
            </w:r>
          </w:p>
        </w:tc>
        <w:tc>
          <w:tcPr>
            <w:tcW w:type="dxa" w:w="3450"/>
            <w:tcMar>
              <w:top w:type="dxa" w:w="80"/>
              <w:left w:type="dxa" w:w="100"/>
              <w:bottom w:type="dxa" w:w="80"/>
              <w:right w:type="dxa" w:w="100"/>
            </w:tcMar>
          </w:tcPr>
          <w:p>
            <w:r>
              <w:rPr>
                <w:b w:val="false"/>
                <w:bCs w:val="false"/>
                <w:color w:val="000000"/>
              </w:rPr>
              <w:t xml:space="preserve">547 days silent, exactly 1 order ever</w:t>
            </w:r>
          </w:p>
        </w:tc>
        <w:tc>
          <w:tcPr>
            <w:tcW w:type="dxa" w:w="3450"/>
            <w:tcMar>
              <w:top w:type="dxa" w:w="80"/>
              <w:left w:type="dxa" w:w="100"/>
              <w:bottom w:type="dxa" w:w="80"/>
              <w:right w:type="dxa" w:w="100"/>
            </w:tcMar>
          </w:tcPr>
          <w:p>
            <w:r>
              <w:rPr>
                <w:b w:val="false"/>
                <w:bCs w:val="false"/>
                <w:color w:val="000000"/>
              </w:rPr>
              <w:t xml:space="preserve">Deprioritise. Low-cost automated re-engagement only; not worth aggressive spend.</w:t>
            </w:r>
          </w:p>
        </w:tc>
      </w:tr>
    </w:tbl>
    <w:p>
      <w:pPr>
        <w:pStyle w:val="Heading1"/>
        <w:spacing w:after="150" w:before="300"/>
      </w:pPr>
      <w:r>
        <w:t xml:space="preserve">6. Key Insight for Retention Strategy</w:t>
      </w:r>
    </w:p>
    <w:p>
      <w:pPr>
        <w:spacing w:after="160"/>
      </w:pPr>
      <w:r>
        <w:t xml:space="preserve">At Risk and Lost customers together account for 29.5% of the customer base but only 2.9% of revenue combined — nearly the same headcount as the Champions segment, generating roughly 28x less revenue. This means retention budget is best spent defensively, on protecting Champions and Loyal Customers, rather than reactively chasing already-lost customers.</w:t>
      </w:r>
    </w:p>
    <w:p>
      <w:pPr>
        <w:pStyle w:val="Heading1"/>
        <w:spacing w:after="150" w:before="300"/>
      </w:pPr>
      <w:r>
        <w:t xml:space="preserve">7. Dashboard Components</w:t>
      </w:r>
    </w:p>
    <w:p>
      <w:pPr>
        <w:pStyle w:val="ListParagraph"/>
        <w:numPr>
          <w:ilvl w:val="0"/>
          <w:numId w:val="1"/>
        </w:numPr>
        <w:spacing w:after="80"/>
      </w:pPr>
      <w:r>
        <w:rPr>
          <w:b w:val="false"/>
          <w:bCs w:val="false"/>
        </w:rPr>
        <w:t xml:space="preserve">KPI cards: total customers, total revenue, average order value.</w:t>
      </w:r>
    </w:p>
    <w:p>
      <w:pPr>
        <w:pStyle w:val="ListParagraph"/>
        <w:numPr>
          <w:ilvl w:val="0"/>
          <w:numId w:val="1"/>
        </w:numPr>
        <w:spacing w:after="80"/>
      </w:pPr>
      <w:r>
        <w:rPr>
          <w:b w:val="false"/>
          <w:bCs w:val="false"/>
        </w:rPr>
        <w:t xml:space="preserve">Donut chart: customer count by segment.</w:t>
      </w:r>
    </w:p>
    <w:p>
      <w:pPr>
        <w:pStyle w:val="ListParagraph"/>
        <w:numPr>
          <w:ilvl w:val="0"/>
          <w:numId w:val="1"/>
        </w:numPr>
        <w:spacing w:after="80"/>
      </w:pPr>
      <w:r>
        <w:rPr>
          <w:b w:val="false"/>
          <w:bCs w:val="false"/>
        </w:rPr>
        <w:t xml:space="preserve">Bar chart: revenue contribution by segment.</w:t>
      </w:r>
    </w:p>
    <w:p>
      <w:pPr>
        <w:pStyle w:val="ListParagraph"/>
        <w:numPr>
          <w:ilvl w:val="0"/>
          <w:numId w:val="1"/>
        </w:numPr>
        <w:spacing w:after="80"/>
      </w:pPr>
      <w:r>
        <w:rPr>
          <w:b w:val="false"/>
          <w:bCs w:val="false"/>
        </w:rPr>
        <w:t xml:space="preserve">Column chart: customer count by recency bucket (0-30, 31-90, 91-180, 181-365, 365+ days).</w:t>
      </w:r>
    </w:p>
    <w:p>
      <w:pPr>
        <w:pStyle w:val="ListParagraph"/>
        <w:numPr>
          <w:ilvl w:val="0"/>
          <w:numId w:val="1"/>
        </w:numPr>
        <w:spacing w:after="80"/>
      </w:pPr>
      <w:r>
        <w:rPr>
          <w:b w:val="false"/>
          <w:bCs w:val="false"/>
        </w:rPr>
        <w:t xml:space="preserve">Summary table: segment-level averages for recency, frequency, and monetary value.</w:t>
      </w:r>
    </w:p>
    <w:p>
      <w:pPr>
        <w:pStyle w:val="ListParagraph"/>
        <w:numPr>
          <w:ilvl w:val="0"/>
          <w:numId w:val="1"/>
        </w:numPr>
        <w:spacing w:after="80"/>
      </w:pPr>
      <w:r>
        <w:rPr>
          <w:b w:val="false"/>
          <w:bCs w:val="false"/>
        </w:rPr>
        <w:t xml:space="preserve">Segment slicer for interactive filtering across all visuals.</w:t>
      </w:r>
    </w:p>
    <w:p>
      <w:pPr>
        <w:pStyle w:val="Heading1"/>
        <w:spacing w:after="150" w:before="300"/>
      </w:pPr>
      <w:r>
        <w:t xml:space="preserve">8. Tools Used</w:t>
      </w:r>
    </w:p>
    <w:p>
      <w:pPr>
        <w:pStyle w:val="ListParagraph"/>
        <w:numPr>
          <w:ilvl w:val="0"/>
          <w:numId w:val="1"/>
        </w:numPr>
        <w:spacing w:after="80"/>
      </w:pPr>
      <w:r>
        <w:rPr>
          <w:b w:val="false"/>
          <w:bCs w:val="false"/>
        </w:rPr>
        <w:t xml:space="preserve">Python (pandas, numpy) — data cleaning and RFM computation.</w:t>
      </w:r>
    </w:p>
    <w:p>
      <w:pPr>
        <w:pStyle w:val="ListParagraph"/>
        <w:numPr>
          <w:ilvl w:val="0"/>
          <w:numId w:val="1"/>
        </w:numPr>
        <w:spacing w:after="80"/>
      </w:pPr>
      <w:r>
        <w:rPr>
          <w:b w:val="false"/>
          <w:bCs w:val="false"/>
        </w:rPr>
        <w:t xml:space="preserve">Power BI Desktop — interactive dashboard and visualisation.</w:t>
      </w:r>
    </w:p>
    <w:p>
      <w:pPr>
        <w:pStyle w:val="ListParagraph"/>
        <w:numPr>
          <w:ilvl w:val="0"/>
          <w:numId w:val="1"/>
        </w:numPr>
        <w:spacing w:after="80"/>
      </w:pPr>
      <w:r>
        <w:rPr>
          <w:b w:val="false"/>
          <w:bCs w:val="false"/>
        </w:rPr>
        <w:t xml:space="preserve">Dataset: Online Retail II (UCI), via Kaggle.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2026-09-02T15:07:20.158Z</dcterms:created>
  <dcterms:modified xsi:type="dcterms:W3CDTF">2026-09-02T15:07:20.168Z</dcterms:modified>
</cp:coreProperties>
</file>

<file path=docProps/custom.xml><?xml version="1.0" encoding="utf-8"?>
<Properties xmlns="http://schemas.openxmlformats.org/officeDocument/2006/custom-properties" xmlns:vt="http://schemas.openxmlformats.org/officeDocument/2006/docPropsVTypes"/>
</file>