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5747" cy="5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47" cy="5039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 Nazanin" w:hAnsi="B Nazanin" w:cs="B Nazanin" w:eastAsia="B Nazanin"/>
          <w:b/>
          <w:bCs/>
          <w:color w:val="000000"/>
          <w:sz w:val="36"/>
          <w:szCs w:val="36"/>
          <w:rtl/>
        </w:rPr>
        <w:t xml:space="preserve">  شرکت بردیا تجارت ماندگار</w:t>
      </w:r>
    </w:p>
    <w:p>
      <w:pPr>
        <w:bidi/>
        <w:spacing w:after="80" w:before="0" w:line="240" w:lineRule="auto"/>
        <w:jc w:val="center"/>
      </w:pPr>
      <w:r>
        <w:rPr>
          <w:rFonts w:ascii="B Nazanin" w:hAnsi="B Nazanin" w:cs="B Nazanin" w:eastAsia="B Nazanin"/>
          <w:b/>
          <w:bCs/>
          <w:color w:val="000000"/>
          <w:sz w:val="26"/>
          <w:szCs w:val="26"/>
          <w:rtl/>
        </w:rPr>
        <w:t>فیش حقوق ماه ....................          سال ....................</w:t>
      </w:r>
    </w:p>
    <w:tbl>
      <w:tblPr>
        <w:bidiVisual/>
        <w:tblW w:type="auto" w:w="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  <w:tblLook w:firstColumn="1" w:firstRow="1" w:lastColumn="0" w:lastRow="0" w:noHBand="0" w:noVBand="1" w:val="04A0"/>
      </w:tblPr>
      <w:tblGrid>
        <w:gridCol w:w="2175"/>
        <w:gridCol w:w="2095"/>
        <w:gridCol w:w="3061"/>
        <w:gridCol w:w="3625"/>
        <w:gridCol w:w="1934"/>
        <w:gridCol w:w="2417"/>
      </w:tblGrid>
      <w:tr>
        <w:trPr>
          <w:trHeight w:val="482"/>
        </w:trPr>
        <w:tc>
          <w:tcPr>
            <w:tcW w:type="dxa" w:w="2175"/>
            <w:tcBorders>
              <w:left w:val="nil"/>
            </w:tcBorders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4"/>
                <w:szCs w:val="24"/>
                <w:rtl/>
              </w:rPr>
              <w:t>کد پرسنلی:</w:t>
            </w:r>
          </w:p>
        </w:tc>
        <w:tc>
          <w:tcPr>
            <w:tcW w:type="dxa" w:w="2095"/>
            <w:tcBorders>
              <w:left w:val="nil"/>
              <w:right w:val="nil"/>
            </w:tcBorders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3061"/>
            <w:tcBorders>
              <w:left w:val="nil"/>
              <w:right w:val="nil"/>
            </w:tcBorders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4"/>
                <w:szCs w:val="24"/>
                <w:rtl/>
              </w:rPr>
              <w:t>نام و نام خانوادگی:</w:t>
            </w:r>
          </w:p>
        </w:tc>
        <w:tc>
          <w:tcPr>
            <w:tcW w:type="dxa" w:w="3625"/>
            <w:tcBorders>
              <w:left w:val="nil"/>
              <w:right w:val="nil"/>
            </w:tcBorders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4"/>
                <w:szCs w:val="24"/>
                <w:rtl/>
              </w:rPr>
              <w:t>امیر نوردی</w:t>
            </w:r>
          </w:p>
        </w:tc>
        <w:tc>
          <w:tcPr>
            <w:tcW w:type="dxa" w:w="1934"/>
            <w:tcBorders>
              <w:left w:val="nil"/>
              <w:right w:val="nil"/>
            </w:tcBorders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4"/>
                <w:szCs w:val="24"/>
                <w:rtl/>
              </w:rPr>
              <w:t>مرکز هزینه:</w:t>
            </w:r>
          </w:p>
        </w:tc>
        <w:tc>
          <w:tcPr>
            <w:tcW w:type="dxa" w:w="2417"/>
            <w:tcBorders>
              <w:right w:val="nil"/>
            </w:tcBorders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</w:pPr>
          </w:p>
        </w:tc>
      </w:tr>
    </w:tbl>
    <w:tbl>
      <w:tblPr>
        <w:bidiVisual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  <w:tblLook w:firstColumn="1" w:firstRow="1" w:lastColumn="0" w:lastRow="0" w:noHBand="0" w:noVBand="1" w:val="04A0"/>
      </w:tblPr>
      <w:tblGrid>
        <w:gridCol w:w="2900"/>
        <w:gridCol w:w="2095"/>
        <w:gridCol w:w="2095"/>
        <w:gridCol w:w="8217"/>
      </w:tblGrid>
      <w:tr>
        <w:trPr>
          <w:trHeight w:val="312"/>
        </w:trPr>
        <w:tc>
          <w:tcPr>
            <w:tcW w:type="dxa" w:w="29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color w:val="000000"/>
                <w:sz w:val="22"/>
                <w:szCs w:val="22"/>
                <w:rtl/>
              </w:rPr>
              <w:t>میزان مرخصی در ماه :</w:t>
            </w:r>
          </w:p>
        </w:tc>
        <w:tc>
          <w:tcPr>
            <w:tcW w:type="dxa" w:w="209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09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color w:val="000000"/>
                <w:sz w:val="22"/>
                <w:szCs w:val="22"/>
                <w:rtl/>
              </w:rPr>
              <w:t>مانده مرخصی :</w:t>
            </w:r>
          </w:p>
        </w:tc>
        <w:tc>
          <w:tcPr>
            <w:tcW w:type="dxa" w:w="821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after="0" w:before="0" w:line="240" w:lineRule="auto"/>
            </w:pPr>
          </w:p>
        </w:tc>
      </w:tr>
    </w:tbl>
    <w:tbl>
      <w:tblPr>
        <w:bidiVisual/>
        <w:tblW w:type="auto" w:w="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  <w:tblLook w:firstColumn="1" w:firstRow="1" w:lastColumn="0" w:lastRow="0" w:noHBand="0" w:noVBand="1" w:val="04A0"/>
      </w:tblPr>
      <w:tblGrid>
        <w:gridCol w:w="5559"/>
        <w:gridCol w:w="2900"/>
        <w:gridCol w:w="4270"/>
        <w:gridCol w:w="2578"/>
      </w:tblGrid>
      <w:tr>
        <w:trPr>
          <w:trHeight w:val="454"/>
        </w:trPr>
        <w:tc>
          <w:tcPr>
            <w:tcW w:type="dxa" w:w="5559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4"/>
                <w:szCs w:val="24"/>
                <w:rtl/>
              </w:rPr>
              <w:t>سایر</w:t>
            </w:r>
          </w:p>
        </w:tc>
        <w:tc>
          <w:tcPr>
            <w:tcW w:type="dxa" w:w="2900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4"/>
                <w:szCs w:val="24"/>
                <w:rtl/>
              </w:rPr>
              <w:t>مزایا</w:t>
            </w:r>
          </w:p>
        </w:tc>
        <w:tc>
          <w:tcPr>
            <w:tcW w:type="dxa" w:w="4270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4"/>
                <w:szCs w:val="24"/>
                <w:rtl/>
              </w:rPr>
              <w:t>کسور</w:t>
            </w:r>
          </w:p>
        </w:tc>
        <w:tc>
          <w:tcPr>
            <w:tcW w:type="dxa" w:w="2578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4"/>
                <w:szCs w:val="24"/>
                <w:rtl/>
              </w:rPr>
              <w:t>وام</w:t>
            </w:r>
          </w:p>
        </w:tc>
      </w:tr>
      <w:tr>
        <w:trPr>
          <w:trHeight w:val="4309"/>
        </w:trPr>
        <w:tc>
          <w:tcPr>
            <w:tcW w:type="dxa" w:w="5559"/>
            <w:vAlign w:val="top"/>
          </w:tcPr>
          <w:tbl>
            <w:tblPr>
              <w:bidiVisual/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15" w:type="dxa"/>
                <w:left w:w="60" w:type="dxa"/>
                <w:bottom w:w="15" w:type="dxa"/>
                <w:right w:w="60" w:type="dxa"/>
              </w:tblCellMar>
              <w:tblLook w:firstColumn="1" w:firstRow="1" w:lastColumn="0" w:lastRow="0" w:noHBand="0" w:noVBand="1" w:val="04A0"/>
            </w:tblPr>
            <w:tblGrid>
              <w:gridCol w:w="4270"/>
              <w:gridCol w:w="1128"/>
            </w:tblGrid>
            <w:tr>
              <w:trPr>
                <w:trHeight w:val="425"/>
              </w:trPr>
              <w:tc>
                <w:tcPr>
                  <w:tcW w:type="dxa" w:w="4270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کارکرد مؤثر</w:t>
                  </w:r>
                </w:p>
              </w:tc>
              <w:tc>
                <w:tcPr>
                  <w:tcW w:type="dxa" w:w="1128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4270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درآمد مشمول مالیات سال حقوق</w:t>
                  </w:r>
                </w:p>
              </w:tc>
              <w:tc>
                <w:tcPr>
                  <w:tcW w:type="dxa" w:w="1128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4270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میانگین درآمد مشمول مالیات سال حقوق</w:t>
                  </w:r>
                </w:p>
              </w:tc>
              <w:tc>
                <w:tcPr>
                  <w:tcW w:type="dxa" w:w="1128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4270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مالیات کل حقوق</w:t>
                  </w:r>
                </w:p>
              </w:tc>
              <w:tc>
                <w:tcPr>
                  <w:tcW w:type="dxa" w:w="1128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4270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معافیت مالیاتی سالانه</w:t>
                  </w:r>
                </w:p>
              </w:tc>
              <w:tc>
                <w:tcPr>
                  <w:tcW w:type="dxa" w:w="1128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4270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جمع کل حقوق و مزایای مستمر و غیرمستمر</w:t>
                  </w:r>
                </w:p>
              </w:tc>
              <w:tc>
                <w:tcPr>
                  <w:tcW w:type="dxa" w:w="1128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4270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مانده صندوق</w:t>
                  </w:r>
                </w:p>
              </w:tc>
              <w:tc>
                <w:tcPr>
                  <w:tcW w:type="dxa" w:w="1128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4270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معافیت‌های موضوع ماده ۹۱</w:t>
                  </w:r>
                </w:p>
              </w:tc>
              <w:tc>
                <w:tcPr>
                  <w:tcW w:type="dxa" w:w="1128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4270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سایر معافیت‌ها</w:t>
                  </w:r>
                </w:p>
              </w:tc>
              <w:tc>
                <w:tcPr>
                  <w:tcW w:type="dxa" w:w="1128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</w:tbl>
          <w:p/>
          <w:p/>
        </w:tc>
        <w:tc>
          <w:tcPr>
            <w:tcW w:type="dxa" w:w="2900"/>
            <w:vAlign w:val="top"/>
          </w:tcPr>
          <w:tbl>
            <w:tblPr>
              <w:bidiVisual/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15" w:type="dxa"/>
                <w:left w:w="60" w:type="dxa"/>
                <w:bottom w:w="15" w:type="dxa"/>
                <w:right w:w="60" w:type="dxa"/>
              </w:tblCellMar>
              <w:tblLook w:firstColumn="1" w:firstRow="1" w:lastColumn="0" w:lastRow="0" w:noHBand="0" w:noVBand="1" w:val="04A0"/>
            </w:tblPr>
            <w:tblGrid>
              <w:gridCol w:w="1611"/>
              <w:gridCol w:w="1128"/>
            </w:tblGrid>
            <w:tr>
              <w:trPr>
                <w:trHeight w:val="425"/>
              </w:trPr>
              <w:tc>
                <w:tcPr>
                  <w:tcW w:type="dxa" w:w="1611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حقوق پایه</w:t>
                  </w:r>
                </w:p>
              </w:tc>
              <w:tc>
                <w:tcPr>
                  <w:tcW w:type="dxa" w:w="1128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1611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سایر مزایا</w:t>
                  </w:r>
                </w:p>
              </w:tc>
              <w:tc>
                <w:tcPr>
                  <w:tcW w:type="dxa" w:w="1128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</w:tbl>
          <w:p/>
          <w:p/>
        </w:tc>
        <w:tc>
          <w:tcPr>
            <w:tcW w:type="dxa" w:w="4270"/>
            <w:vAlign w:val="top"/>
          </w:tcPr>
          <w:tbl>
            <w:tblPr>
              <w:bidiVisual/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15" w:type="dxa"/>
                <w:left w:w="60" w:type="dxa"/>
                <w:bottom w:w="15" w:type="dxa"/>
                <w:right w:w="60" w:type="dxa"/>
              </w:tblCellMar>
              <w:tblLook w:firstColumn="1" w:firstRow="1" w:lastColumn="0" w:lastRow="0" w:noHBand="0" w:noVBand="1" w:val="04A0"/>
            </w:tblPr>
            <w:tblGrid>
              <w:gridCol w:w="3061"/>
              <w:gridCol w:w="1047"/>
            </w:tblGrid>
            <w:tr>
              <w:trPr>
                <w:trHeight w:val="425"/>
              </w:trPr>
              <w:tc>
                <w:tcPr>
                  <w:tcW w:type="dxa" w:w="3061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مالیات</w:t>
                  </w:r>
                </w:p>
              </w:tc>
              <w:tc>
                <w:tcPr>
                  <w:tcW w:type="dxa" w:w="1047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3061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رستوران</w:t>
                  </w:r>
                </w:p>
              </w:tc>
              <w:tc>
                <w:tcPr>
                  <w:tcW w:type="dxa" w:w="1047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3061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بیمه تکمیلی</w:t>
                  </w:r>
                </w:p>
              </w:tc>
              <w:tc>
                <w:tcPr>
                  <w:tcW w:type="dxa" w:w="1047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3061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حق صندوق</w:t>
                  </w:r>
                </w:p>
              </w:tc>
              <w:tc>
                <w:tcPr>
                  <w:tcW w:type="dxa" w:w="1047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>
              <w:trPr>
                <w:trHeight w:val="425"/>
              </w:trPr>
              <w:tc>
                <w:tcPr>
                  <w:tcW w:type="dxa" w:w="3061"/>
                  <w:vAlign w:val="center"/>
                </w:tcPr>
                <w:p>
                  <w:pPr>
                    <w:bidi/>
                    <w:spacing w:after="0" w:before="0" w:line="240" w:lineRule="auto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بیمه تأمین اجتماعی سهم کارمند</w:t>
                  </w:r>
                </w:p>
              </w:tc>
              <w:tc>
                <w:tcPr>
                  <w:tcW w:type="dxa" w:w="1047"/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B Nazanin" w:hAnsi="B Nazanin" w:cs="B Nazanin" w:eastAsia="B Nazanin"/>
                      <w:b w:val="0"/>
                      <w:color w:val="000000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</w:tbl>
          <w:p/>
          <w:p/>
        </w:tc>
        <w:tc>
          <w:tcPr>
            <w:tcW w:type="dxa" w:w="2578"/>
            <w:vAlign w:val="top"/>
          </w:tcPr>
          <w:p>
            <w:pPr>
              <w:bidi/>
              <w:spacing w:after="0" w:before="0" w:line="240" w:lineRule="auto"/>
            </w:pPr>
          </w:p>
        </w:tc>
      </w:tr>
    </w:tbl>
    <w:p>
      <w:pPr>
        <w:bidi/>
        <w:spacing w:after="0" w:before="0" w:line="240" w:lineRule="auto"/>
      </w:pPr>
      <w:r>
        <w:rPr>
          <w:rFonts w:ascii="B Nazanin" w:hAnsi="B Nazanin" w:cs="B Nazanin" w:eastAsia="B Nazanin"/>
          <w:b w:val="0"/>
          <w:sz w:val="6"/>
          <w:szCs w:val="6"/>
          <w:rtl/>
        </w:rPr>
        <w:t xml:space="preserve"> </w:t>
      </w:r>
    </w:p>
    <w:tbl>
      <w:tblPr>
        <w:bidiVisual/>
        <w:tblW w:type="auto" w:w="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  <w:tblLook w:firstColumn="1" w:firstRow="1" w:lastColumn="0" w:lastRow="0" w:noHBand="0" w:noVBand="1" w:val="04A0"/>
      </w:tblPr>
      <w:tblGrid>
        <w:gridCol w:w="5559"/>
        <w:gridCol w:w="1531"/>
        <w:gridCol w:w="1370"/>
        <w:gridCol w:w="1611"/>
        <w:gridCol w:w="1772"/>
        <w:gridCol w:w="2175"/>
        <w:gridCol w:w="1289"/>
      </w:tblGrid>
      <w:tr>
        <w:trPr>
          <w:trHeight w:val="624"/>
        </w:trPr>
        <w:tc>
          <w:tcPr>
            <w:tcW w:type="dxa" w:w="5559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0"/>
                <w:szCs w:val="20"/>
                <w:rtl/>
              </w:rPr>
              <w:t>مطابق با قوانین عامل سایر مزایا شامل مزایای رفاهی، حق مسکن، بن خواربار و ... می‌باشد.</w:t>
            </w:r>
          </w:p>
        </w:tc>
        <w:tc>
          <w:tcPr>
            <w:tcW w:type="dxa" w:w="1531"/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/>
              </w:rPr>
              <w:t>جمع مزایا</w:t>
            </w:r>
          </w:p>
        </w:tc>
        <w:tc>
          <w:tcPr>
            <w:tcW w:type="dxa" w:w="1370"/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/>
              </w:rPr>
              <w:t>0</w:t>
            </w:r>
          </w:p>
        </w:tc>
        <w:tc>
          <w:tcPr>
            <w:tcW w:type="dxa" w:w="1611"/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/>
              </w:rPr>
              <w:t>جمع کسور</w:t>
            </w:r>
          </w:p>
        </w:tc>
        <w:tc>
          <w:tcPr>
            <w:tcW w:type="dxa" w:w="1772"/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/>
              </w:rPr>
              <w:t>0</w:t>
            </w:r>
          </w:p>
        </w:tc>
        <w:tc>
          <w:tcPr>
            <w:tcW w:type="dxa" w:w="2175"/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/>
              </w:rPr>
              <w:t>جمع اقساط وام</w:t>
            </w:r>
          </w:p>
        </w:tc>
        <w:tc>
          <w:tcPr>
            <w:tcW w:type="dxa" w:w="1289"/>
            <w:shd w:val="clear" w:color="auto" w:fill="D9D9D9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/>
              </w:rPr>
              <w:t>0</w:t>
            </w:r>
          </w:p>
        </w:tc>
      </w:tr>
    </w:tbl>
    <w:p>
      <w:pPr>
        <w:bidi/>
        <w:spacing w:after="0" w:before="0" w:line="240" w:lineRule="auto"/>
      </w:pPr>
      <w:r>
        <w:rPr>
          <w:rFonts w:ascii="B Nazanin" w:hAnsi="B Nazanin" w:cs="B Nazanin" w:eastAsia="B Nazanin"/>
          <w:b w:val="0"/>
          <w:sz w:val="6"/>
          <w:szCs w:val="6"/>
          <w:rtl/>
        </w:rPr>
        <w:t xml:space="preserve"> </w:t>
      </w:r>
    </w:p>
    <w:tbl>
      <w:tblPr>
        <w:bidiVisual/>
        <w:tblW w:type="auto" w:w="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  <w:tblLook w:firstColumn="1" w:firstRow="1" w:lastColumn="0" w:lastRow="0" w:noHBand="0" w:noVBand="1" w:val="04A0"/>
      </w:tblPr>
      <w:tblGrid>
        <w:gridCol w:w="5559"/>
        <w:gridCol w:w="2256"/>
        <w:gridCol w:w="1772"/>
        <w:gridCol w:w="2497"/>
        <w:gridCol w:w="1934"/>
        <w:gridCol w:w="1289"/>
      </w:tblGrid>
      <w:tr>
        <w:trPr>
          <w:trHeight w:val="539"/>
        </w:trPr>
        <w:tc>
          <w:tcPr>
            <w:tcW w:type="dxa" w:w="555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256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5"/>
                <w:szCs w:val="25"/>
                <w:rtl/>
              </w:rPr>
              <w:t>خالص پرداختی</w:t>
            </w:r>
          </w:p>
        </w:tc>
        <w:tc>
          <w:tcPr>
            <w:tcW w:type="dxa" w:w="177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5"/>
                <w:szCs w:val="25"/>
                <w:rtl/>
              </w:rPr>
              <w:t>0</w:t>
            </w:r>
          </w:p>
        </w:tc>
        <w:tc>
          <w:tcPr>
            <w:tcW w:type="dxa" w:w="249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93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color w:val="000000"/>
                <w:sz w:val="25"/>
                <w:szCs w:val="25"/>
                <w:rtl/>
              </w:rPr>
              <w:t>شماره حساب</w:t>
            </w:r>
          </w:p>
        </w:tc>
        <w:tc>
          <w:tcPr>
            <w:tcW w:type="dxa" w:w="1289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/>
              </w:rPr>
              <w:t>0</w:t>
            </w:r>
          </w:p>
        </w:tc>
      </w:tr>
    </w:tbl>
    <w:sectPr w:rsidR="00FC693F" w:rsidRPr="0006063C" w:rsidSect="00034616">
      <w:pgSz w:w="16838" w:h="11906" w:orient="landscape"/>
      <w:pgMar w:top="680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 w:eastAsia="B Nazanin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