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bidi/>
        <w:spacing w:after="120" w:before="80" w:line="288" w:lineRule="auto"/>
        <w:jc w:val="center"/>
      </w:pPr>
      <w:r>
        <w:rPr>
          <w:rFonts w:ascii="B Nazanin" w:hAnsi="B Nazanin" w:cs="B Nazanin" w:eastAsia="B Nazanin"/>
          <w:b/>
          <w:bCs/>
          <w:color w:val="1F5132"/>
          <w:sz w:val="36"/>
          <w:szCs w:val="36"/>
          <w:rtl/>
        </w:rPr>
        <w:t>روش و فرم ارزیابی تأمین‌کنندگان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مدرک روش انتخاب، ارزیابی و رده‌بندی تأمین‌کنندگان برنج، چای و خدمات وابسته شرکت بردیا تجارت ماندگار را تعیین می‌کند. نتیجه ارزیابی مبنای ورود به «فهرست تأمین‌کنندگان معتبر» طبق ماده ۱۶ آیین‌نامه معاملات است.</w:t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۱. دامنه و مسئولیت‌ها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2381"/>
        <w:gridCol w:w="7483"/>
      </w:tblGrid>
      <w:tr>
        <w:trPr>
          <w:cantSplit/>
          <w:tblHeader/>
        </w:trPr>
        <w:tc>
          <w:tcPr>
            <w:tcW w:type="dxa" w:w="238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مورد</w:t>
            </w:r>
          </w:p>
        </w:tc>
        <w:tc>
          <w:tcPr>
            <w:tcW w:type="dxa" w:w="7483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شرح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دامنه</w:t>
            </w:r>
          </w:p>
        </w:tc>
        <w:tc>
          <w:tcPr>
            <w:tcW w:type="dxa" w:w="748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تأمین‌کنندگان خارجی برنج و چای، و ارائه‌دهندگان خدمات حمل، بیمه، بازرسی، ترخیص و بسته‌بندی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واحد بازرگانی</w:t>
            </w:r>
          </w:p>
        </w:tc>
        <w:tc>
          <w:tcPr>
            <w:tcW w:type="dxa" w:w="748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جمع‌آوری مدارک، تکمیل فرم و امتیازدهی معیارهای تجاری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مسئول کنترل کیفیت</w:t>
            </w:r>
          </w:p>
        </w:tc>
        <w:tc>
          <w:tcPr>
            <w:tcW w:type="dxa" w:w="748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امتیازدهی کیفیت بر پایه نتایج آزمایش و بازرسی محموله‌ها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واحد مالی</w:t>
            </w:r>
          </w:p>
        </w:tc>
        <w:tc>
          <w:tcPr>
            <w:tcW w:type="dxa" w:w="748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بررسی سوابق پرداخت، مدارک بانکی و تضمین‌ها</w:t>
            </w:r>
          </w:p>
        </w:tc>
      </w:tr>
      <w:tr>
        <w:trPr>
          <w:cantSplit/>
        </w:trPr>
        <w:tc>
          <w:tcPr>
            <w:tcW w:type="dxa" w:w="238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مدیرعامل</w:t>
            </w:r>
          </w:p>
        </w:tc>
        <w:tc>
          <w:tcPr>
            <w:tcW w:type="dxa" w:w="748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تأیید نهایی رده‌بندی و تصمیم درباره ادامه همکاری</w:t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۲. زمان ارزیابی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ارزیابی اولیه: پیش از اولین خرید از هر تأمین‌کننده جدید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ارزیابی پس از هر محموله: ثبت نتیجه بازرسی، تأخیر و مغایرت‌ها در سابقه تأمین‌کننده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ارزیابی دوره‌ای: هر سال یک بار در آبان‌ماه برای همه تأمین‌کنندگان فعال</w:t>
      </w:r>
    </w:p>
    <w:p>
      <w:pPr>
        <w:bidi/>
        <w:spacing w:after="4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B8860B"/>
          <w:sz w:val="24"/>
          <w:szCs w:val="24"/>
          <w:rtl/>
        </w:rPr>
        <w:t xml:space="preserve">•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ارزیابی فوری: پس از مرجوعی محموله، شکایت جدی یا تغییر مالکیت تأمین‌کننده</w:t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۳. معیارها و وزن‌ها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هر معیار از ۰ تا ۱۰ امتیاز می‌گیرد. امتیاز وزنی برابر است با امتیاز × وزن ÷ ۱۰ و جمع امتیازهای وزنی از ۱۰۰ محاسبه می‌شود.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10"/>
        <w:gridCol w:w="2665"/>
        <w:gridCol w:w="624"/>
        <w:gridCol w:w="2098"/>
        <w:gridCol w:w="1928"/>
        <w:gridCol w:w="2041"/>
      </w:tblGrid>
      <w:tr>
        <w:trPr>
          <w:cantSplit/>
          <w:tblHeader/>
        </w:trPr>
        <w:tc>
          <w:tcPr>
            <w:tcW w:type="dxa" w:w="51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0"/>
                <w:szCs w:val="20"/>
                <w:rtl/>
              </w:rPr>
              <w:t>ردیف</w:t>
            </w:r>
          </w:p>
        </w:tc>
        <w:tc>
          <w:tcPr>
            <w:tcW w:type="dxa" w:w="2665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0"/>
                <w:szCs w:val="20"/>
                <w:rtl/>
              </w:rPr>
              <w:t>معیار</w:t>
            </w:r>
          </w:p>
        </w:tc>
        <w:tc>
          <w:tcPr>
            <w:tcW w:type="dxa" w:w="62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0"/>
                <w:szCs w:val="20"/>
                <w:rtl/>
              </w:rPr>
              <w:t>وزن</w:t>
            </w:r>
          </w:p>
        </w:tc>
        <w:tc>
          <w:tcPr>
            <w:tcW w:type="dxa" w:w="209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0"/>
                <w:szCs w:val="20"/>
                <w:rtl/>
              </w:rPr>
              <w:t>۱۰ امتیاز</w:t>
            </w:r>
          </w:p>
        </w:tc>
        <w:tc>
          <w:tcPr>
            <w:tcW w:type="dxa" w:w="192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0"/>
                <w:szCs w:val="20"/>
                <w:rtl/>
              </w:rPr>
              <w:t>۵ امتیاز</w:t>
            </w:r>
          </w:p>
        </w:tc>
        <w:tc>
          <w:tcPr>
            <w:tcW w:type="dxa" w:w="204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0"/>
                <w:szCs w:val="20"/>
                <w:rtl/>
              </w:rPr>
              <w:t>۰ امتیاز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۱</w:t>
            </w:r>
          </w:p>
        </w:tc>
        <w:tc>
          <w:tcPr>
            <w:tcW w:type="dxa" w:w="2665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کیفیت کالا (شکسته، رطوبت، مواد خارجی، باقیمانده سموم، عطر و پخت)</w:t>
            </w:r>
          </w:p>
        </w:tc>
        <w:tc>
          <w:tcPr>
            <w:tcW w:type="dxa" w:w="62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۳۰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همه محموله‌ها منطبق با قرارداد و استاندارد ملی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مغایرت جزئی با تخفیف قیمت حل شد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محموله مرجوعی یا رد در آزمایش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۲</w:t>
            </w:r>
          </w:p>
        </w:tc>
        <w:tc>
          <w:tcPr>
            <w:tcW w:type="dxa" w:w="2665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قیمت تمام‌شده نسبت به بازار</w:t>
            </w:r>
          </w:p>
        </w:tc>
        <w:tc>
          <w:tcPr>
            <w:tcW w:type="dxa" w:w="62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۲۰</w:t>
            </w:r>
          </w:p>
        </w:tc>
        <w:tc>
          <w:tcPr>
            <w:tcW w:type="dxa" w:w="209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کمترین قیمت بین سه پیشنهاد</w:t>
            </w:r>
          </w:p>
        </w:tc>
        <w:tc>
          <w:tcPr>
            <w:tcW w:type="dxa" w:w="192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تا ۵٪ بالاتر از کمترین</w:t>
            </w:r>
          </w:p>
        </w:tc>
        <w:tc>
          <w:tcPr>
            <w:tcW w:type="dxa" w:w="204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بیش از ۱۰٪ بالاتر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۳</w:t>
            </w:r>
          </w:p>
        </w:tc>
        <w:tc>
          <w:tcPr>
            <w:tcW w:type="dxa" w:w="2665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به‌موقع بودن حمل</w:t>
            </w:r>
          </w:p>
        </w:tc>
        <w:tc>
          <w:tcPr>
            <w:tcW w:type="dxa" w:w="62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۱۵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بارگیری در بازه قرارداد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تأخیر تا ۲ هفته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تأخیر بیش از ۴ هفته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۴</w:t>
            </w:r>
          </w:p>
        </w:tc>
        <w:tc>
          <w:tcPr>
            <w:tcW w:type="dxa" w:w="2665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کامل و درست بودن اسناد (بارنامه، گواهی مبدأ، گواهی بهداشت گیاهی، بازرسی)</w:t>
            </w:r>
          </w:p>
        </w:tc>
        <w:tc>
          <w:tcPr>
            <w:tcW w:type="dxa" w:w="62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۱۰</w:t>
            </w:r>
          </w:p>
        </w:tc>
        <w:tc>
          <w:tcPr>
            <w:tcW w:type="dxa" w:w="209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بدون نقص</w:t>
            </w:r>
          </w:p>
        </w:tc>
        <w:tc>
          <w:tcPr>
            <w:tcW w:type="dxa" w:w="192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نقص رفع‌شده بدون هزینه</w:t>
            </w:r>
          </w:p>
        </w:tc>
        <w:tc>
          <w:tcPr>
            <w:tcW w:type="dxa" w:w="204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نقص منجر به توقف ترخیص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۵</w:t>
            </w:r>
          </w:p>
        </w:tc>
        <w:tc>
          <w:tcPr>
            <w:tcW w:type="dxa" w:w="2665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بسته‌بندی و برچسب</w:t>
            </w:r>
          </w:p>
        </w:tc>
        <w:tc>
          <w:tcPr>
            <w:tcW w:type="dxa" w:w="62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۱۰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مطابق مشخصات و مقررات غذا و دارو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ایراد جزئی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کیسه پاره یا برچسب نادرست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۶</w:t>
            </w:r>
          </w:p>
        </w:tc>
        <w:tc>
          <w:tcPr>
            <w:tcW w:type="dxa" w:w="2665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شرایط پرداخت و اعتبار</w:t>
            </w:r>
          </w:p>
        </w:tc>
        <w:tc>
          <w:tcPr>
            <w:tcW w:type="dxa" w:w="62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۱۰</w:t>
            </w:r>
          </w:p>
        </w:tc>
        <w:tc>
          <w:tcPr>
            <w:tcW w:type="dxa" w:w="209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اعتبار اسنادی یا پرداخت پس از حمل</w:t>
            </w:r>
          </w:p>
        </w:tc>
        <w:tc>
          <w:tcPr>
            <w:tcW w:type="dxa" w:w="192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پیش‌پرداخت تا ۲۰٪</w:t>
            </w:r>
          </w:p>
        </w:tc>
        <w:tc>
          <w:tcPr>
            <w:tcW w:type="dxa" w:w="204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پیش‌پرداخت بیش از ۳۰٪ بدون ضمانت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۷</w:t>
            </w:r>
          </w:p>
        </w:tc>
        <w:tc>
          <w:tcPr>
            <w:tcW w:type="dxa" w:w="2665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پاسخگویی و رسیدگی به شکایت</w:t>
            </w:r>
          </w:p>
        </w:tc>
        <w:tc>
          <w:tcPr>
            <w:tcW w:type="dxa" w:w="62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۵</w:t>
            </w:r>
          </w:p>
        </w:tc>
        <w:tc>
          <w:tcPr>
            <w:tcW w:type="dxa" w:w="209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پاسخ ظرف ۴۸ ساعت و جبران کامل</w:t>
            </w:r>
          </w:p>
        </w:tc>
        <w:tc>
          <w:tcPr>
            <w:tcW w:type="dxa" w:w="192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پاسخ با تأخیر</w:t>
            </w:r>
          </w:p>
        </w:tc>
        <w:tc>
          <w:tcPr>
            <w:tcW w:type="dxa" w:w="204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بی‌پاسخ</w:t>
            </w:r>
          </w:p>
        </w:tc>
      </w:tr>
      <w:tr>
        <w:trPr>
          <w:cantSplit/>
        </w:trPr>
        <w:tc>
          <w:tcPr>
            <w:tcW w:type="dxa" w:w="51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</w:r>
          </w:p>
        </w:tc>
        <w:tc>
          <w:tcPr>
            <w:tcW w:type="dxa" w:w="2665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جمع</w:t>
            </w:r>
          </w:p>
        </w:tc>
        <w:tc>
          <w:tcPr>
            <w:tcW w:type="dxa" w:w="62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  <w:t>۱۰۰</w:t>
            </w:r>
          </w:p>
        </w:tc>
        <w:tc>
          <w:tcPr>
            <w:tcW w:type="dxa" w:w="209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</w:r>
          </w:p>
        </w:tc>
        <w:tc>
          <w:tcPr>
            <w:tcW w:type="dxa" w:w="192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</w:r>
          </w:p>
        </w:tc>
        <w:tc>
          <w:tcPr>
            <w:tcW w:type="dxa" w:w="204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0"/>
                <w:szCs w:val="20"/>
                <w:rtl/>
              </w:rPr>
            </w:r>
          </w:p>
        </w:tc>
      </w:tr>
    </w:tbl>
    <w:p>
      <w:pPr>
        <w:spacing w:after="40"/>
      </w:pP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۴. رده‌بندی و اقدام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794"/>
        <w:gridCol w:w="1474"/>
        <w:gridCol w:w="1814"/>
        <w:gridCol w:w="5783"/>
      </w:tblGrid>
      <w:tr>
        <w:trPr>
          <w:cantSplit/>
          <w:tblHeader/>
        </w:trPr>
        <w:tc>
          <w:tcPr>
            <w:tcW w:type="dxa" w:w="79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رده</w:t>
            </w:r>
          </w:p>
        </w:tc>
        <w:tc>
          <w:tcPr>
            <w:tcW w:type="dxa" w:w="147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جمع امتیاز</w:t>
            </w:r>
          </w:p>
        </w:tc>
        <w:tc>
          <w:tcPr>
            <w:tcW w:type="dxa" w:w="181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وضعیت</w:t>
            </w:r>
          </w:p>
        </w:tc>
        <w:tc>
          <w:tcPr>
            <w:tcW w:type="dxa" w:w="5783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اقدام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A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۸۵ تا ۱۰۰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تأمین‌کننده برتر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اولویت در استعلام‌ها؛ امکان قرارداد بلندمدت و ترک تشریفات طبق ماده ۱۴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B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۷۰ تا ۸۴</w:t>
            </w:r>
          </w:p>
        </w:tc>
        <w:tc>
          <w:tcPr>
            <w:tcW w:type="dxa" w:w="181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معتبر</w:t>
            </w:r>
          </w:p>
        </w:tc>
        <w:tc>
          <w:tcPr>
            <w:tcW w:type="dxa" w:w="578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ادامه همکاری؛ اعلام نقاط ضعف به تأمین‌کننده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C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۵۰ تا ۶۹</w:t>
            </w:r>
          </w:p>
        </w:tc>
        <w:tc>
          <w:tcPr>
            <w:tcW w:type="dxa" w:w="181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مشروط</w:t>
            </w:r>
          </w:p>
        </w:tc>
        <w:tc>
          <w:tcPr>
            <w:tcW w:type="dxa" w:w="5783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خرید فقط با بازرسی کامل پیش از حمل؛ ارزیابی مجدد پس از محموله بعدی</w:t>
            </w:r>
          </w:p>
        </w:tc>
      </w:tr>
      <w:tr>
        <w:trPr>
          <w:cantSplit/>
        </w:trPr>
        <w:tc>
          <w:tcPr>
            <w:tcW w:type="dxa" w:w="79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D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کمتر از ۵۰</w:t>
            </w:r>
          </w:p>
        </w:tc>
        <w:tc>
          <w:tcPr>
            <w:tcW w:type="dxa" w:w="181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رد</w:t>
            </w:r>
          </w:p>
        </w:tc>
        <w:tc>
          <w:tcPr>
            <w:tcW w:type="dxa" w:w="5783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حذف از فهرست معتبر؛ همکاری مجدد پس از یک سال و ارزیابی اولیه جدید</w:t>
            </w:r>
          </w:p>
        </w:tc>
      </w:tr>
    </w:tbl>
    <w:p>
      <w:pPr>
        <w:spacing w:after="40"/>
      </w:pP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/>
          <w:bCs/>
          <w:color w:val="1F5132"/>
          <w:sz w:val="24"/>
          <w:szCs w:val="24"/>
          <w:rtl/>
        </w:rPr>
        <w:t xml:space="preserve">تبصره. </w:t>
      </w:r>
      <w:r>
        <w:rPr>
          <w:rFonts w:ascii="B Nazanin" w:hAnsi="B Nazanin" w:cs="B Nazanin" w:eastAsia="B Nazanin"/>
          <w:b w:val="0"/>
          <w:sz w:val="24"/>
          <w:szCs w:val="24"/>
          <w:rtl/>
        </w:rPr>
        <w:t>صرف‌نظر از امتیاز، تأمین‌کننده‌ای که دو محموله مرجوعی یا تأخیر جدی داشته باشد از فهرست حذف می‌شود (ماده ۱۶ آیین‌نامه معاملات).</w:t>
      </w:r>
    </w:p>
    <w:p>
      <w:r>
        <w:br w:type="page"/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۵. فرم ارزیابی تأمین‌کننده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1871"/>
        <w:gridCol w:w="3061"/>
        <w:gridCol w:w="1871"/>
        <w:gridCol w:w="3061"/>
      </w:tblGrid>
      <w:tr>
        <w:trPr>
          <w:cantSplit/>
          <w:trHeight w:val="425"/>
          <w:tblHeader/>
        </w:trPr>
        <w:tc>
          <w:tcPr>
            <w:tcW w:type="dxa" w:w="187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مشخصات</w:t>
            </w:r>
          </w:p>
        </w:tc>
        <w:tc>
          <w:tcPr>
            <w:tcW w:type="dxa" w:w="30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شرح</w:t>
            </w:r>
          </w:p>
        </w:tc>
        <w:tc>
          <w:tcPr>
            <w:tcW w:type="dxa" w:w="187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مشخصات</w:t>
            </w:r>
          </w:p>
        </w:tc>
        <w:tc>
          <w:tcPr>
            <w:tcW w:type="dxa" w:w="30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شرح</w:t>
            </w:r>
          </w:p>
        </w:tc>
      </w:tr>
      <w:tr>
        <w:trPr>
          <w:cantSplit/>
          <w:trHeight w:val="425"/>
        </w:trPr>
        <w:tc>
          <w:tcPr>
            <w:tcW w:type="dxa" w:w="187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تأمین‌کننده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87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کشور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187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نوع کالا/خدمت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 برنج  ☐ چای  ☐ خدمات</w:t>
            </w:r>
          </w:p>
        </w:tc>
        <w:tc>
          <w:tcPr>
            <w:tcW w:type="dxa" w:w="187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شماره قرارداد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187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نوع ارزیابی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 اولیه  ☐ دوره‌ای  ☐ فوری</w:t>
            </w:r>
          </w:p>
        </w:tc>
        <w:tc>
          <w:tcPr>
            <w:tcW w:type="dxa" w:w="187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ارزیابی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187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تعداد محموله‌های دوره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87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حجم کل (تن)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3061"/>
        <w:gridCol w:w="680"/>
        <w:gridCol w:w="1474"/>
        <w:gridCol w:w="1361"/>
        <w:gridCol w:w="2721"/>
      </w:tblGrid>
      <w:tr>
        <w:trPr>
          <w:cantSplit/>
          <w:trHeight w:val="425"/>
          <w:tblHeader/>
        </w:trPr>
        <w:tc>
          <w:tcPr>
            <w:tcW w:type="dxa" w:w="56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ردیف</w:t>
            </w:r>
          </w:p>
        </w:tc>
        <w:tc>
          <w:tcPr>
            <w:tcW w:type="dxa" w:w="30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معیار</w:t>
            </w:r>
          </w:p>
        </w:tc>
        <w:tc>
          <w:tcPr>
            <w:tcW w:type="dxa" w:w="68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وزن</w:t>
            </w:r>
          </w:p>
        </w:tc>
        <w:tc>
          <w:tcPr>
            <w:tcW w:type="dxa" w:w="1474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امتیاز (۰ تا ۱۰)</w:t>
            </w:r>
          </w:p>
        </w:tc>
        <w:tc>
          <w:tcPr>
            <w:tcW w:type="dxa" w:w="13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امتیاز وزنی</w:t>
            </w:r>
          </w:p>
        </w:tc>
        <w:tc>
          <w:tcPr>
            <w:tcW w:type="dxa" w:w="272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مستند / توضیح</w:t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کیفیت کالا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۳۰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قیمت تمام‌شده نسبت به بازار</w:t>
            </w:r>
          </w:p>
        </w:tc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۲۰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به‌موقع بودن حمل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۱۵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۴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کامل و درست بودن اسناد</w:t>
            </w:r>
          </w:p>
        </w:tc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۱۰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بسته‌بندی و برچسب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۱۰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۶</w:t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شرایط پرداخت و اعتبار</w:t>
            </w:r>
          </w:p>
        </w:tc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۱۰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</w:t>
            </w:r>
          </w:p>
        </w:tc>
        <w:tc>
          <w:tcPr>
            <w:tcW w:type="dxa" w:w="30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پاسخگویی و رسیدگی به شکایت</w:t>
            </w:r>
          </w:p>
        </w:tc>
        <w:tc>
          <w:tcPr>
            <w:tcW w:type="dxa" w:w="68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1474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25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30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جمع امتیاز</w:t>
            </w:r>
          </w:p>
        </w:tc>
        <w:tc>
          <w:tcPr>
            <w:tcW w:type="dxa" w:w="68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۱۰۰</w:t>
            </w:r>
          </w:p>
        </w:tc>
        <w:tc>
          <w:tcPr>
            <w:tcW w:type="dxa" w:w="1474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272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2268"/>
        <w:gridCol w:w="7597"/>
      </w:tblGrid>
      <w:tr>
        <w:trPr>
          <w:cantSplit/>
          <w:trHeight w:val="510"/>
          <w:tblHeader/>
        </w:trPr>
        <w:tc>
          <w:tcPr>
            <w:tcW w:type="dxa" w:w="226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نتیجه</w:t>
            </w:r>
          </w:p>
        </w:tc>
        <w:tc>
          <w:tcPr>
            <w:tcW w:type="dxa" w:w="759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شرح</w:t>
            </w:r>
          </w:p>
        </w:tc>
      </w:tr>
      <w:tr>
        <w:trPr>
          <w:cantSplit/>
          <w:trHeight w:val="510"/>
        </w:trPr>
        <w:tc>
          <w:tcPr>
            <w:tcW w:type="dxa" w:w="226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رده نهایی</w:t>
            </w:r>
          </w:p>
        </w:tc>
        <w:tc>
          <w:tcPr>
            <w:tcW w:type="dxa" w:w="759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☐ A — برتر     ☐ B — معتبر     ☐ C — مشروط     ☐ D — رد</w:t>
            </w:r>
          </w:p>
        </w:tc>
      </w:tr>
      <w:tr>
        <w:trPr>
          <w:cantSplit/>
          <w:trHeight w:val="510"/>
        </w:trPr>
        <w:tc>
          <w:tcPr>
            <w:tcW w:type="dxa" w:w="226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نقاط ضعف و اقدام لازم</w:t>
            </w:r>
          </w:p>
        </w:tc>
        <w:tc>
          <w:tcPr>
            <w:tcW w:type="dxa" w:w="759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2466"/>
        <w:gridCol w:w="2466"/>
        <w:gridCol w:w="2466"/>
        <w:gridCol w:w="2466"/>
      </w:tblGrid>
      <w:tr>
        <w:trPr>
          <w:cantSplit/>
          <w:trHeight w:val="1247"/>
          <w:tblHeader/>
        </w:trPr>
        <w:tc>
          <w:tcPr>
            <w:tcW w:type="dxa" w:w="2466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ارزیاب: واحد بازرگانی</w:t>
            </w:r>
          </w:p>
        </w:tc>
        <w:tc>
          <w:tcPr>
            <w:tcW w:type="dxa" w:w="2466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کنترل کیفیت</w:t>
            </w:r>
          </w:p>
        </w:tc>
        <w:tc>
          <w:tcPr>
            <w:tcW w:type="dxa" w:w="2466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واحد مالی</w:t>
            </w:r>
          </w:p>
        </w:tc>
        <w:tc>
          <w:tcPr>
            <w:tcW w:type="dxa" w:w="2466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تأیید: مدیرعامل</w:t>
            </w:r>
          </w:p>
        </w:tc>
      </w:tr>
      <w:tr>
        <w:trPr>
          <w:cantSplit/>
          <w:trHeight w:val="1247"/>
        </w:trPr>
        <w:tc>
          <w:tcPr>
            <w:tcW w:type="dxa" w:w="2466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2466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2466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  <w:tc>
          <w:tcPr>
            <w:tcW w:type="dxa" w:w="2466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نام و نام خانوادگی:</w:t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تاریخ و امضا: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keepNext/>
        <w:pBdr>
          <w:bottom w:val="single" w:sz="8" w:space="3" w:color="B8860B"/>
        </w:pBdr>
        <w:bidi/>
        <w:spacing w:after="120" w:before="240" w:line="288" w:lineRule="auto"/>
      </w:pPr>
      <w:r>
        <w:rPr>
          <w:rFonts w:ascii="B Nazanin" w:hAnsi="B Nazanin" w:cs="B Nazanin" w:eastAsia="B Nazanin"/>
          <w:b/>
          <w:bCs/>
          <w:color w:val="2E7D4F"/>
          <w:sz w:val="28"/>
          <w:szCs w:val="28"/>
          <w:rtl/>
        </w:rPr>
        <w:t>۶. فهرست تأمین‌کنندگان معتبر</w:t>
      </w:r>
    </w:p>
    <w:p>
      <w:pPr>
        <w:bidi/>
        <w:spacing w:after="80" w:before="0" w:line="288" w:lineRule="auto"/>
        <w:jc w:val="both"/>
      </w:pPr>
      <w:r>
        <w:rPr>
          <w:rFonts w:ascii="B Nazanin" w:hAnsi="B Nazanin" w:cs="B Nazanin" w:eastAsia="B Nazanin"/>
          <w:b w:val="0"/>
          <w:sz w:val="24"/>
          <w:szCs w:val="24"/>
          <w:rtl/>
        </w:rPr>
        <w:t>این فهرست پس از هر ارزیابی به‌روز می‌شود و خرید خارجی فقط از تأمین‌کنندگان رده A و B (و C با شرط بازرسی کامل) مجاز است.</w:t>
      </w:r>
    </w:p>
    <w:tbl>
      <w:tblPr>
        <w:bidiVisual/>
        <w:tblW w:type="auto" w:w="0"/>
        <w:jc w:val="center"/>
        <w:tblBorders>
          <w:top w:val="single" w:sz="6" w:space="0" w:color="A9CBB4"/>
          <w:left w:val="single" w:sz="6" w:space="0" w:color="A9CBB4"/>
          <w:bottom w:val="single" w:sz="6" w:space="0" w:color="A9CBB4"/>
          <w:right w:val="single" w:sz="6" w:space="0" w:color="A9CBB4"/>
          <w:insideH w:val="single" w:sz="6" w:space="0" w:color="A9CBB4"/>
          <w:insideV w:val="single" w:sz="6" w:space="0" w:color="A9CBB4"/>
        </w:tblBorders>
        <w:tblLayout w:type="fixed"/>
        <w:tblCellMar>
          <w:top w:w="50" w:type="dxa"/>
          <w:left w:w="100" w:type="dxa"/>
          <w:bottom w:w="50" w:type="dxa"/>
          <w:right w:w="100" w:type="dxa"/>
        </w:tblCellMar>
        <w:tblLook w:firstColumn="1" w:firstRow="1" w:lastColumn="0" w:lastRow="0" w:noHBand="0" w:noVBand="1" w:val="04A0"/>
      </w:tblPr>
      <w:tblGrid>
        <w:gridCol w:w="567"/>
        <w:gridCol w:w="2948"/>
        <w:gridCol w:w="1247"/>
        <w:gridCol w:w="1361"/>
        <w:gridCol w:w="1701"/>
        <w:gridCol w:w="1020"/>
        <w:gridCol w:w="1020"/>
      </w:tblGrid>
      <w:tr>
        <w:trPr>
          <w:cantSplit/>
          <w:trHeight w:val="454"/>
          <w:tblHeader/>
        </w:trPr>
        <w:tc>
          <w:tcPr>
            <w:tcW w:type="dxa" w:w="56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ردیف</w:t>
            </w:r>
          </w:p>
        </w:tc>
        <w:tc>
          <w:tcPr>
            <w:tcW w:type="dxa" w:w="2948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نام تأمین‌کننده</w:t>
            </w:r>
          </w:p>
        </w:tc>
        <w:tc>
          <w:tcPr>
            <w:tcW w:type="dxa" w:w="1247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کشور</w:t>
            </w:r>
          </w:p>
        </w:tc>
        <w:tc>
          <w:tcPr>
            <w:tcW w:type="dxa" w:w="136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کالا/خدمت</w:t>
            </w:r>
          </w:p>
        </w:tc>
        <w:tc>
          <w:tcPr>
            <w:tcW w:type="dxa" w:w="1701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تاریخ آخرین ارزیابی</w:t>
            </w:r>
          </w:p>
        </w:tc>
        <w:tc>
          <w:tcPr>
            <w:tcW w:type="dxa" w:w="102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امتیاز</w:t>
            </w:r>
          </w:p>
        </w:tc>
        <w:tc>
          <w:tcPr>
            <w:tcW w:type="dxa" w:w="1020"/>
            <w:shd w:val="clear" w:color="auto" w:fill="1F5132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/>
                <w:bCs/>
                <w:color w:val="FFFFFF"/>
                <w:sz w:val="22"/>
                <w:szCs w:val="22"/>
                <w:rtl/>
              </w:rPr>
              <w:t>رده</w:t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۲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۳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۴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۵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۶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۷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۸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۹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۱۰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۱۱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۱۲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۱۳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۱۴</w:t>
            </w:r>
          </w:p>
        </w:tc>
        <w:tc>
          <w:tcPr>
            <w:tcW w:type="dxa" w:w="2948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EEF6F0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  <w:tr>
        <w:trPr>
          <w:cantSplit/>
          <w:trHeight w:val="454"/>
        </w:trPr>
        <w:tc>
          <w:tcPr>
            <w:tcW w:type="dxa" w:w="56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  <w:jc w:val="center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  <w:t>۱۵</w:t>
            </w:r>
          </w:p>
        </w:tc>
        <w:tc>
          <w:tcPr>
            <w:tcW w:type="dxa" w:w="2948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247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36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701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  <w:tc>
          <w:tcPr>
            <w:tcW w:type="dxa" w:w="1020"/>
            <w:shd w:val="clear" w:color="auto" w:fill="FFFFFF"/>
            <w:vAlign w:val="center"/>
          </w:tcPr>
          <w:p>
            <w:pPr>
              <w:bidi/>
              <w:spacing w:after="0" w:before="0" w:line="252" w:lineRule="auto"/>
            </w:pPr>
            <w:r>
              <w:rPr>
                <w:rFonts w:ascii="B Nazanin" w:hAnsi="B Nazanin" w:cs="B Nazanin" w:eastAsia="B Nazanin"/>
                <w:b w:val="0"/>
                <w:sz w:val="22"/>
                <w:szCs w:val="22"/>
                <w:rtl/>
              </w:rPr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20" w:bottom="907" w:left="1020" w:header="454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after="0" w:before="0" w:line="288" w:lineRule="auto"/>
      <w:jc w:val="center"/>
    </w:pPr>
    <w:r>
      <w:rPr>
        <w:rFonts w:ascii="B Nazanin" w:hAnsi="B Nazanin" w:cs="B Nazanin" w:eastAsia="B Nazanin"/>
        <w:b w:val="0"/>
        <w:color w:val="777777"/>
        <w:sz w:val="18"/>
        <w:szCs w:val="18"/>
        <w:rtl/>
      </w:rPr>
      <w:t xml:space="preserve">کد مدرک: FR-122-A   |   </w:t>
    </w:r>
    <w:r>
      <w:rPr>
        <w:rFonts w:ascii="B Nazanin" w:hAnsi="B Nazanin" w:cs="B Nazanin" w:eastAsia="B Nazanin"/>
        <w:color w:val="777777"/>
        <w:sz w:val="18"/>
        <w:szCs w:val="18"/>
        <w:rtl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bidiVisual/>
      <w:tblW w:type="auto" w:w="0"/>
      <w:jc w:val="center"/>
      <w:tblBorders>
        <w:top w:val="single" w:sz="6" w:space="0" w:color="2E7D4F"/>
        <w:left w:val="single" w:sz="6" w:space="0" w:color="2E7D4F"/>
        <w:bottom w:val="single" w:sz="6" w:space="0" w:color="2E7D4F"/>
        <w:right w:val="single" w:sz="6" w:space="0" w:color="2E7D4F"/>
        <w:insideH w:val="single" w:sz="6" w:space="0" w:color="2E7D4F"/>
        <w:insideV w:val="single" w:sz="6" w:space="0" w:color="2E7D4F"/>
      </w:tblBorders>
      <w:tblLayout w:type="fixed"/>
      <w:tblCellMar>
        <w:top w:w="50" w:type="dxa"/>
        <w:left w:w="100" w:type="dxa"/>
        <w:bottom w:w="50" w:type="dxa"/>
        <w:right w:w="100" w:type="dxa"/>
      </w:tblCellMar>
      <w:tblLook w:firstColumn="1" w:firstRow="1" w:lastColumn="0" w:lastRow="0" w:noHBand="0" w:noVBand="1" w:val="04A0"/>
    </w:tblPr>
    <w:tblGrid>
      <w:gridCol w:w="3175"/>
      <w:gridCol w:w="3742"/>
      <w:gridCol w:w="2948"/>
    </w:tblGrid>
    <w:tr>
      <w:tc>
        <w:tcPr>
          <w:tcW w:type="dxa" w:w="3175"/>
          <w:vAlign w:val="center"/>
        </w:tcPr>
        <w:p>
          <w:pPr>
            <w:bidi/>
            <w:spacing w:after="0" w:before="0" w:line="288" w:lineRule="auto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459213" cy="432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9213" cy="432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  <w:p>
          <w:pPr>
            <w:bidi/>
            <w:spacing w:after="0" w:before="0" w:line="288" w:lineRule="auto"/>
            <w:jc w:val="center"/>
          </w:pPr>
          <w:r>
            <w:rPr>
              <w:rFonts w:ascii="B Nazanin" w:hAnsi="B Nazanin" w:cs="B Nazanin" w:eastAsia="B Nazanin"/>
              <w:b/>
              <w:bCs/>
              <w:color w:val="1F5132"/>
              <w:sz w:val="21"/>
              <w:szCs w:val="21"/>
              <w:rtl/>
            </w:rPr>
            <w:t>شرکت بردیا تجارت ماندگار</w:t>
          </w:r>
        </w:p>
      </w:tc>
      <w:tc>
        <w:tcPr>
          <w:tcW w:type="dxa" w:w="3742"/>
          <w:vAlign w:val="center"/>
        </w:tcPr>
        <w:p>
          <w:pPr>
            <w:bidi/>
            <w:spacing w:after="0" w:before="0" w:line="288" w:lineRule="auto"/>
            <w:jc w:val="center"/>
          </w:pPr>
          <w:r>
            <w:rPr>
              <w:rFonts w:ascii="B Nazanin" w:hAnsi="B Nazanin" w:cs="B Nazanin" w:eastAsia="B Nazanin"/>
              <w:b/>
              <w:bCs/>
              <w:color w:val="1F5132"/>
              <w:sz w:val="28"/>
              <w:szCs w:val="28"/>
              <w:rtl/>
            </w:rPr>
            <w:t>ارزیابی تأمین‌کنندگان</w:t>
          </w:r>
        </w:p>
      </w:tc>
      <w:tc>
        <w:tcPr>
          <w:tcW w:type="dxa" w:w="2948"/>
          <w:vAlign w:val="center"/>
        </w:tcPr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color w:val="2E7D4F"/>
              <w:sz w:val="20"/>
              <w:szCs w:val="20"/>
              <w:rtl/>
            </w:rPr>
            <w:t xml:space="preserve">کد مدرک: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FR-122-A</w:t>
          </w:r>
        </w:p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color w:val="2E7D4F"/>
              <w:sz w:val="20"/>
              <w:szCs w:val="20"/>
              <w:rtl/>
            </w:rPr>
            <w:t xml:space="preserve">تاریخ تهیه: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۱۴۰۵/۰۸/۱۰</w:t>
          </w:r>
        </w:p>
        <w:p>
          <w:pPr>
            <w:bidi/>
            <w:spacing w:after="0" w:before="0" w:line="264" w:lineRule="auto"/>
          </w:pPr>
          <w:r>
            <w:rPr>
              <w:rFonts w:ascii="B Nazanin" w:hAnsi="B Nazanin" w:cs="B Nazanin" w:eastAsia="B Nazanin"/>
              <w:b/>
              <w:bCs/>
              <w:color w:val="2E7D4F"/>
              <w:sz w:val="20"/>
              <w:szCs w:val="20"/>
              <w:rtl/>
            </w:rPr>
            <w:t xml:space="preserve">شماره بازنگری: </w:t>
          </w:r>
          <w:r>
            <w:rPr>
              <w:rFonts w:ascii="B Nazanin" w:hAnsi="B Nazanin" w:cs="B Nazanin" w:eastAsia="B Nazanin"/>
              <w:b w:val="0"/>
              <w:sz w:val="20"/>
              <w:szCs w:val="20"/>
              <w:rtl/>
            </w:rPr>
            <w:t>۰۰</w:t>
          </w:r>
        </w:p>
      </w:tc>
    </w:tr>
  </w:tbl>
  <w:p>
    <w:pPr>
      <w:pStyle w:val="Header"/>
      <w:bidi/>
      <w:spacing w:after="0" w:before="0" w:line="288" w:lineRule="auto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B Nazanin" w:hAnsi="B Nazanin" w:cs="B Nazanin" w:eastAsia="B Nazanin"/>
      <w:sz w:val="24"/>
      <w:szCs w:val="24"/>
      <w:lang w:val="en-US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