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14287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00150"/>
                    </a:xfrm>
                    <a:prstGeom prst="rect">
                      <a:avLst/>
                    </a:prstGeom>
                  </pic:spPr>
                </pic:pic>
              </a:graphicData>
            </a:graphic>
          </wp:inline>
        </w:drawing>
      </w:r>
    </w:p>
    <w:p>
      <w:pPr>
        <w:pBdr>
          <w:top w:val="single" w:color="2E2A30" w:sz="6" w:space="6"/>
          <w:bottom w:val="single" w:color="2E2A30" w:sz="6" w:space="6"/>
          <w:left w:val="single" w:color="2E2A30" w:sz="6" w:space="6"/>
          <w:right w:val="single" w:color="2E2A30" w:sz="6" w:space="6"/>
        </w:pBdr>
        <w:shd w:fill="2E2A30" w:color="auto" w:val="clear"/>
        <w:bidi/>
        <w:spacing w:after="500"/>
        <w:ind w:left="1700" w:right="1700"/>
        <w:jc w:val="center"/>
      </w:pPr>
      <w:r>
        <w:rPr>
          <w:rFonts w:ascii="Tahoma" w:cs="Tahoma" w:eastAsia="Tahoma" w:hAnsi="Tahoma"/>
          <w:b/>
          <w:bCs/>
          <w:color w:val="FFFFFF"/>
          <w:sz w:val="30"/>
          <w:szCs w:val="30"/>
          <w:rtl/>
        </w:rPr>
        <w:t xml:space="preserve">شرکت بردیا تجارت ماندگار</w:t>
      </w:r>
    </w:p>
    <w:p>
      <w:pPr>
        <w:spacing w:after="300"/>
        <w:jc w:val="center"/>
      </w:pPr>
      <w:r>
        <w:rPr>
          <w:rFonts w:ascii="Tahoma" w:cs="Tahoma" w:eastAsia="Tahoma" w:hAnsi="Tahoma"/>
          <w:color w:val="9A8FA6"/>
          <w:sz w:val="22"/>
          <w:szCs w:val="22"/>
          <w:rtl/>
        </w:rPr>
        <w:t xml:space="preserve">—————————  ❦  —————————</w:t>
      </w:r>
    </w:p>
    <w:p>
      <w:pPr>
        <w:pBdr>
          <w:top w:val="single" w:color="6A5A7A" w:sz="8" w:space="14"/>
          <w:bottom w:val="single" w:color="6A5A7A" w:sz="8" w:space="14"/>
          <w:left w:val="single" w:color="6A5A7A" w:sz="8" w:space="14"/>
          <w:right w:val="single" w:color="6A5A7A" w:sz="8" w:space="14"/>
        </w:pBdr>
        <w:bidi/>
        <w:spacing w:after="120" w:before="120" w:line="360"/>
        <w:ind w:left="1300" w:right="1300"/>
        <w:jc w:val="center"/>
      </w:pPr>
      <w:r>
        <w:rPr>
          <w:rFonts w:ascii="Tahoma" w:cs="Tahoma" w:eastAsia="Tahoma" w:hAnsi="Tahoma"/>
          <w:b/>
          <w:bCs/>
          <w:color w:val="1E1B20"/>
          <w:sz w:val="36"/>
          <w:szCs w:val="36"/>
          <w:rtl/>
        </w:rPr>
        <w:t xml:space="preserve">روش اجرایی بهبود مستمر</w:t>
      </w:r>
    </w:p>
    <w:p>
      <w:pPr>
        <w:bidi/>
        <w:spacing w:after="600" w:before="260"/>
        <w:jc w:val="center"/>
      </w:pPr>
      <w:r>
        <w:rPr>
          <w:rFonts w:ascii="Tahoma" w:cs="Tahoma" w:eastAsia="Tahoma" w:hAnsi="Tahoma"/>
          <w:color w:val="5A5560"/>
          <w:sz w:val="20"/>
          <w:szCs w:val="20"/>
          <w:rtl/>
        </w:rPr>
        <w:t xml:space="preserve">بهبود، عدم انطباق، اقدام اصلاحی و نظام پیشنهادها — مطابق بند ۱۰ استاندارد ISO ۹۰۰۱:۲۰۱۵</w:t>
      </w:r>
    </w:p>
    <w:tbl>
      <w:tblPr>
        <w:bidiVisual/>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tblGrid>
      <w:tr>
        <w:trPr>
          <w:trHeight w:val="560" w:hRule="atLeast"/>
        </w:trPr>
        <w:tc>
          <w:tcPr>
            <w:tcW w:type="dxa" w:w="2600"/>
            <w:tcBorders>
              <w:top w:val="single" w:color="2E2A30" w:sz="8"/>
              <w:left w:val="single" w:color="2E2A30" w:sz="8"/>
              <w:bottom w:val="single" w:color="2E2A30" w:sz="8"/>
              <w:right w:val="single" w:color="2E2A30" w:sz="8"/>
            </w:tcBorders>
            <w:shd w:fill="FFFFFF" w:color="auto" w:val="clear"/>
            <w:tcMar>
              <w:top w:type="dxa" w:w="80"/>
              <w:left w:type="dxa" w:w="140"/>
              <w:bottom w:type="dxa" w:w="80"/>
              <w:right w:type="dxa" w:w="140"/>
            </w:tcMar>
            <w:vAlign w:val="center"/>
          </w:tcPr>
          <w:p>
            <w:pPr>
              <w:bidi/>
              <w:spacing w:after="0"/>
              <w:jc w:val="center"/>
            </w:pPr>
            <w:r>
              <w:rPr>
                <w:rFonts w:ascii="Tahoma" w:cs="Tahoma" w:eastAsia="Tahoma" w:hAnsi="Tahoma"/>
                <w:b/>
                <w:bCs/>
                <w:color w:val="2E2A30"/>
                <w:sz w:val="24"/>
                <w:szCs w:val="24"/>
                <w:rtl/>
              </w:rPr>
              <w:t xml:space="preserve">کد مدرک</w:t>
            </w:r>
          </w:p>
        </w:tc>
        <w:tc>
          <w:tcPr>
            <w:tcW w:type="dxa" w:w="3400"/>
            <w:tcBorders>
              <w:top w:val="none" w:color="FFFFFF" w:sz="0"/>
              <w:left w:val="none" w:color="FFFFFF" w:sz="0"/>
              <w:bottom w:val="none" w:color="FFFFFF" w:sz="0"/>
              <w:right w:val="none" w:color="FFFFFF" w:sz="0"/>
            </w:tcBorders>
            <w:shd w:fill="2E2A30" w:color="auto" w:val="clear"/>
            <w:tcMar>
              <w:top w:type="dxa" w:w="80"/>
              <w:left w:type="dxa" w:w="140"/>
              <w:bottom w:type="dxa" w:w="80"/>
              <w:right w:type="dxa" w:w="140"/>
            </w:tcMar>
            <w:vAlign w:val="center"/>
          </w:tcPr>
          <w:p>
            <w:pPr>
              <w:jc w:val="center"/>
            </w:pPr>
            <w:r>
              <w:rPr>
                <w:rFonts w:ascii="Tahoma" w:cs="Tahoma" w:eastAsia="Tahoma" w:hAnsi="Tahoma"/>
                <w:b/>
                <w:bCs/>
                <w:color w:val="FFFFFF"/>
                <w:sz w:val="24"/>
                <w:szCs w:val="24"/>
              </w:rPr>
              <w:t xml:space="preserve">QP-010</w:t>
            </w:r>
          </w:p>
        </w:tc>
      </w:tr>
    </w:tbl>
    <w:p>
      <w:pPr>
        <w:spacing w:after="50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2A30" w:sz="8"/>
              <w:left w:val="single" w:color="2E2A30" w:sz="8"/>
              <w:bottom w:val="single" w:color="2E2A30" w:sz="8"/>
              <w:right w:val="single" w:color="2E2A30" w:sz="8"/>
            </w:tcBorders>
            <w:shd w:fill="2E2A30" w:color="auto" w:val="clear"/>
            <w:tcMar>
              <w:top w:type="dxa" w:w="80"/>
              <w:left w:type="dxa" w:w="140"/>
              <w:bottom w:type="dxa" w:w="80"/>
              <w:right w:type="dxa" w:w="140"/>
            </w:tcMar>
            <w:vAlign w:val="center"/>
          </w:tcPr>
          <w:p>
            <w:pPr>
              <w:bidi/>
              <w:spacing w:after="0"/>
              <w:jc w:val="center"/>
            </w:pPr>
            <w:r>
              <w:rPr>
                <w:rFonts w:ascii="Tahoma" w:cs="Tahoma" w:eastAsia="Tahoma" w:hAnsi="Tahoma"/>
                <w:b/>
                <w:bCs/>
                <w:color w:val="FFFFFF"/>
                <w:sz w:val="24"/>
                <w:szCs w:val="24"/>
                <w:rtl/>
              </w:rPr>
              <w:t xml:space="preserve">تهیه‌کننده</w:t>
            </w:r>
          </w:p>
        </w:tc>
        <w:tc>
          <w:tcPr>
            <w:tcW w:type="dxa" w:w="4513"/>
            <w:tcBorders>
              <w:top w:val="single" w:color="2E2A30" w:sz="8"/>
              <w:left w:val="single" w:color="2E2A30" w:sz="8"/>
              <w:bottom w:val="single" w:color="2E2A30" w:sz="8"/>
              <w:right w:val="single" w:color="2E2A30" w:sz="8"/>
            </w:tcBorders>
            <w:shd w:fill="2E2A30" w:color="auto" w:val="clear"/>
            <w:tcMar>
              <w:top w:type="dxa" w:w="80"/>
              <w:left w:type="dxa" w:w="140"/>
              <w:bottom w:type="dxa" w:w="80"/>
              <w:right w:type="dxa" w:w="140"/>
            </w:tcMar>
            <w:vAlign w:val="center"/>
          </w:tcPr>
          <w:p>
            <w:pPr>
              <w:bidi/>
              <w:spacing w:after="0"/>
              <w:jc w:val="center"/>
            </w:pPr>
            <w:r>
              <w:rPr>
                <w:rFonts w:ascii="Tahoma" w:cs="Tahoma" w:eastAsia="Tahoma" w:hAnsi="Tahoma"/>
                <w:b/>
                <w:bCs/>
                <w:color w:val="FFFFFF"/>
                <w:sz w:val="24"/>
                <w:szCs w:val="24"/>
                <w:rtl/>
              </w:rPr>
              <w:t xml:space="preserve">تأییدکننده</w:t>
            </w:r>
          </w:p>
        </w:tc>
      </w:tr>
      <w:tr>
        <w:tc>
          <w:tcPr>
            <w:tcW w:type="dxa" w:w="4513"/>
            <w:tcBorders>
              <w:top w:val="single" w:color="2E2A30" w:sz="8"/>
              <w:left w:val="single" w:color="2E2A30" w:sz="8"/>
              <w:bottom w:val="single" w:color="2E2A30" w:sz="8"/>
              <w:right w:val="single" w:color="2E2A30" w:sz="8"/>
            </w:tcBorders>
            <w:tcMar>
              <w:top w:type="dxa" w:w="80"/>
              <w:left w:type="dxa" w:w="140"/>
              <w:bottom w:type="dxa" w:w="80"/>
              <w:right w:type="dxa" w:w="140"/>
            </w:tcMar>
            <w:vAlign w:val="center"/>
          </w:tcPr>
          <w:p>
            <w:pPr>
              <w:bidi/>
              <w:spacing w:after="0"/>
              <w:jc w:val="right"/>
            </w:pPr>
            <w:r>
              <w:rPr>
                <w:rFonts w:ascii="Tahoma" w:cs="Tahoma" w:eastAsia="Tahoma" w:hAnsi="Tahoma"/>
                <w:b/>
                <w:bCs/>
                <w:color w:val="2E2A30"/>
                <w:sz w:val="20"/>
                <w:szCs w:val="20"/>
                <w:rtl/>
              </w:rPr>
              <w:t xml:space="preserve">سمت: نماینده مدیریت در کیفیت</w:t>
            </w:r>
          </w:p>
        </w:tc>
        <w:tc>
          <w:tcPr>
            <w:tcW w:type="dxa" w:w="4513"/>
            <w:tcBorders>
              <w:top w:val="single" w:color="2E2A30" w:sz="8"/>
              <w:left w:val="single" w:color="2E2A30" w:sz="8"/>
              <w:bottom w:val="single" w:color="2E2A30" w:sz="8"/>
              <w:right w:val="single" w:color="2E2A30" w:sz="8"/>
            </w:tcBorders>
            <w:tcMar>
              <w:top w:type="dxa" w:w="80"/>
              <w:left w:type="dxa" w:w="140"/>
              <w:bottom w:type="dxa" w:w="80"/>
              <w:right w:type="dxa" w:w="140"/>
            </w:tcMar>
            <w:vAlign w:val="center"/>
          </w:tcPr>
          <w:p>
            <w:pPr>
              <w:bidi/>
              <w:spacing w:after="0"/>
              <w:jc w:val="right"/>
            </w:pPr>
            <w:r>
              <w:rPr>
                <w:rFonts w:ascii="Tahoma" w:cs="Tahoma" w:eastAsia="Tahoma" w:hAnsi="Tahoma"/>
                <w:b/>
                <w:bCs/>
                <w:color w:val="2E2A30"/>
                <w:sz w:val="20"/>
                <w:szCs w:val="20"/>
                <w:rtl/>
              </w:rPr>
              <w:t xml:space="preserve">سمت: رئیس هیئت‌مدیره</w:t>
            </w:r>
          </w:p>
        </w:tc>
      </w:tr>
      <w:tr>
        <w:trPr>
          <w:trHeight w:val="1500" w:hRule="atLeast"/>
        </w:trPr>
        <w:tc>
          <w:tcPr>
            <w:tcW w:type="dxa" w:w="4513"/>
            <w:tcBorders>
              <w:top w:val="single" w:color="2E2A30" w:sz="8"/>
              <w:left w:val="single" w:color="2E2A30" w:sz="8"/>
              <w:bottom w:val="single" w:color="2E2A30" w:sz="8"/>
              <w:right w:val="single" w:color="2E2A30" w:sz="8"/>
            </w:tcBorders>
            <w:tcMar>
              <w:top w:type="dxa" w:w="80"/>
              <w:left w:type="dxa" w:w="140"/>
              <w:bottom w:type="dxa" w:w="80"/>
              <w:right w:type="dxa" w:w="140"/>
            </w:tcMar>
            <w:vAlign w:val="top"/>
          </w:tcPr>
          <w:p>
            <w:pPr>
              <w:bidi/>
              <w:spacing w:after="0"/>
              <w:jc w:val="right"/>
            </w:pPr>
            <w:r>
              <w:rPr>
                <w:rFonts w:ascii="Tahoma" w:cs="Tahoma" w:eastAsia="Tahoma" w:hAnsi="Tahoma"/>
                <w:b/>
                <w:bCs/>
                <w:color w:val="2E2A30"/>
                <w:sz w:val="20"/>
                <w:szCs w:val="20"/>
                <w:rtl/>
              </w:rPr>
              <w:t xml:space="preserve">تاریخ و امضاء:</w:t>
            </w:r>
          </w:p>
        </w:tc>
        <w:tc>
          <w:tcPr>
            <w:tcW w:type="dxa" w:w="4513"/>
            <w:tcBorders>
              <w:top w:val="single" w:color="2E2A30" w:sz="8"/>
              <w:left w:val="single" w:color="2E2A30" w:sz="8"/>
              <w:bottom w:val="single" w:color="2E2A30" w:sz="8"/>
              <w:right w:val="single" w:color="2E2A30" w:sz="8"/>
            </w:tcBorders>
            <w:tcMar>
              <w:top w:type="dxa" w:w="80"/>
              <w:left w:type="dxa" w:w="140"/>
              <w:bottom w:type="dxa" w:w="80"/>
              <w:right w:type="dxa" w:w="140"/>
            </w:tcMar>
            <w:vAlign w:val="top"/>
          </w:tcPr>
          <w:p>
            <w:pPr>
              <w:bidi/>
              <w:spacing w:after="0"/>
              <w:jc w:val="right"/>
            </w:pPr>
            <w:r>
              <w:rPr>
                <w:rFonts w:ascii="Tahoma" w:cs="Tahoma" w:eastAsia="Tahoma" w:hAnsi="Tahoma"/>
                <w:b/>
                <w:bCs/>
                <w:color w:val="2E2A30"/>
                <w:sz w:val="20"/>
                <w:szCs w:val="20"/>
                <w:rtl/>
              </w:rPr>
              <w:t xml:space="preserve">تاریخ و امضاء:</w:t>
            </w:r>
          </w:p>
        </w:tc>
      </w:tr>
    </w:tbl>
    <w:p>
      <w:r>
        <w:br w:type="page"/>
      </w:r>
    </w:p>
    <w:p>
      <w:pPr>
        <w:keepNext/>
        <w:spacing w:after="0" w:before="0" w:line="300" w:lineRule="exact"/>
      </w:pPr>
    </w:p>
    <w:p>
      <w:pPr>
        <w:keepNext/>
        <w:bidi/>
        <w:spacing w:after="200" w:before="0" w:line="465" w:lineRule="exact"/>
        <w:ind w:right="160"/>
        <w:jc w:val="right"/>
      </w:pPr>
      <w:r>
        <w:drawing>
          <wp:anchor distT="0" distB="0" distL="0" distR="0" simplePos="0" allowOverlap="1" behindDoc="1" locked="0" layoutInCell="1" relativeHeight="295275">
            <wp:simplePos x="0" y="0"/>
            <wp:positionH relativeFrom="margin">
              <wp:posOffset>0</wp:posOffset>
            </wp:positionH>
            <wp:positionV relativeFrom="paragraph">
              <wp:posOffset>0</wp:posOffset>
            </wp:positionV>
            <wp:extent cx="5734050" cy="2952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95275"/>
                    </a:xfrm>
                    <a:prstGeom prst="rect">
                      <a:avLst/>
                    </a:prstGeom>
                  </pic:spPr>
                </pic:pic>
              </a:graphicData>
            </a:graphic>
          </wp:anchor>
        </w:drawing>
      </w:r>
      <w:r>
        <w:rPr>
          <w:rFonts w:ascii="Tahoma" w:cs="Tahoma" w:eastAsia="Tahoma" w:hAnsi="Tahoma"/>
          <w:b/>
          <w:bCs/>
          <w:color w:val="1E1B20"/>
          <w:sz w:val="26"/>
          <w:szCs w:val="26"/>
          <w:rtl/>
        </w:rPr>
        <w:t xml:space="preserve">۱. هدف</w:t>
      </w:r>
    </w:p>
    <w:p>
      <w:pPr>
        <w:bidi/>
        <w:spacing w:after="120" w:line="330"/>
        <w:jc w:val="both"/>
      </w:pPr>
      <w:r>
        <w:rPr>
          <w:rFonts w:ascii="Tahoma" w:cs="Tahoma" w:eastAsia="Tahoma" w:hAnsi="Tahoma"/>
          <w:sz w:val="21"/>
          <w:szCs w:val="21"/>
          <w:rtl/>
        </w:rPr>
        <w:t xml:space="preserve">هدف این روش اجرایی، ایجاد یک فرآیند نظام‌مند برای </w:t>
      </w:r>
      <w:r>
        <w:rPr>
          <w:rFonts w:ascii="Tahoma" w:cs="Tahoma" w:eastAsia="Tahoma" w:hAnsi="Tahoma"/>
          <w:b/>
          <w:bCs/>
          <w:sz w:val="21"/>
          <w:szCs w:val="21"/>
          <w:rtl/>
        </w:rPr>
        <w:t xml:space="preserve">شناسایی، ثبت، تحلیل، اجرا و ارزیابی اثربخشی</w:t>
      </w:r>
      <w:r>
        <w:rPr>
          <w:rFonts w:ascii="Tahoma" w:cs="Tahoma" w:eastAsia="Tahoma" w:hAnsi="Tahoma"/>
          <w:sz w:val="21"/>
          <w:szCs w:val="21"/>
          <w:rtl/>
        </w:rPr>
        <w:t xml:space="preserve"> فرصت‌های بهبود و اقدامات اصلاحی در شرکت بردیا تجارت ماندگار است تا:</w:t>
      </w:r>
    </w:p>
    <w:p>
      <w:pPr>
        <w:pStyle w:val="ListParagraph"/>
        <w:numPr>
          <w:ilvl w:val="0"/>
          <w:numId w:val="2"/>
        </w:numPr>
        <w:bidi/>
        <w:spacing w:after="70" w:line="310"/>
        <w:jc w:val="both"/>
      </w:pPr>
      <w:r>
        <w:rPr>
          <w:rFonts w:ascii="Tahoma" w:cs="Tahoma" w:eastAsia="Tahoma" w:hAnsi="Tahoma"/>
          <w:sz w:val="21"/>
          <w:szCs w:val="21"/>
          <w:rtl/>
        </w:rPr>
        <w:t xml:space="preserve">عملکرد فرآیندهای بازرگانی، واردات، کیفیت، فروش و پشتیبانی به‌طور پیوسته بهتر شود؛</w:t>
      </w:r>
    </w:p>
    <w:p>
      <w:pPr>
        <w:pStyle w:val="ListParagraph"/>
        <w:numPr>
          <w:ilvl w:val="0"/>
          <w:numId w:val="2"/>
        </w:numPr>
        <w:bidi/>
        <w:spacing w:after="70" w:line="310"/>
        <w:jc w:val="both"/>
      </w:pPr>
      <w:r>
        <w:rPr>
          <w:rFonts w:ascii="Tahoma" w:cs="Tahoma" w:eastAsia="Tahoma" w:hAnsi="Tahoma"/>
          <w:sz w:val="21"/>
          <w:szCs w:val="21"/>
          <w:rtl/>
        </w:rPr>
        <w:t xml:space="preserve">عدم انطباق‌ها و شکایات مشتریان از ریشه برطرف شوند و تکرار نشوند؛</w:t>
      </w:r>
    </w:p>
    <w:p>
      <w:pPr>
        <w:pStyle w:val="ListParagraph"/>
        <w:numPr>
          <w:ilvl w:val="0"/>
          <w:numId w:val="2"/>
        </w:numPr>
        <w:bidi/>
        <w:spacing w:after="70" w:line="310"/>
        <w:jc w:val="both"/>
      </w:pPr>
      <w:r>
        <w:rPr>
          <w:rFonts w:ascii="Tahoma" w:cs="Tahoma" w:eastAsia="Tahoma" w:hAnsi="Tahoma"/>
          <w:sz w:val="21"/>
          <w:szCs w:val="21"/>
          <w:rtl/>
        </w:rPr>
        <w:t xml:space="preserve">رضایت مشتری، سودآوری و اثربخشی سیستم مدیریت کیفیت افزایش یابد؛</w:t>
      </w:r>
    </w:p>
    <w:p>
      <w:pPr>
        <w:pStyle w:val="ListParagraph"/>
        <w:numPr>
          <w:ilvl w:val="0"/>
          <w:numId w:val="2"/>
        </w:numPr>
        <w:bidi/>
        <w:spacing w:after="70" w:line="310"/>
        <w:jc w:val="both"/>
      </w:pPr>
      <w:r>
        <w:rPr>
          <w:rFonts w:ascii="Tahoma" w:cs="Tahoma" w:eastAsia="Tahoma" w:hAnsi="Tahoma"/>
          <w:sz w:val="21"/>
          <w:szCs w:val="21"/>
          <w:rtl/>
        </w:rPr>
        <w:t xml:space="preserve">مشارکت همه کارکنان در بهبود از طریق نظام پیشنهادها تقویت شود.</w:t>
      </w:r>
    </w:p>
    <w:p>
      <w:pPr>
        <w:keepNext/>
        <w:spacing w:after="0" w:before="0" w:line="300" w:lineRule="exact"/>
      </w:pPr>
    </w:p>
    <w:p>
      <w:pPr>
        <w:keepNext/>
        <w:bidi/>
        <w:spacing w:after="200" w:before="0" w:line="465" w:lineRule="exact"/>
        <w:ind w:right="160"/>
        <w:jc w:val="right"/>
      </w:pPr>
      <w:r>
        <w:drawing>
          <wp:anchor distT="0" distB="0" distL="0" distR="0" simplePos="0" allowOverlap="1" behindDoc="1" locked="0" layoutInCell="1" relativeHeight="295275">
            <wp:simplePos x="0" y="0"/>
            <wp:positionH relativeFrom="margin">
              <wp:posOffset>0</wp:posOffset>
            </wp:positionH>
            <wp:positionV relativeFrom="paragraph">
              <wp:posOffset>0</wp:posOffset>
            </wp:positionV>
            <wp:extent cx="5734050" cy="2952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95275"/>
                    </a:xfrm>
                    <a:prstGeom prst="rect">
                      <a:avLst/>
                    </a:prstGeom>
                  </pic:spPr>
                </pic:pic>
              </a:graphicData>
            </a:graphic>
          </wp:anchor>
        </w:drawing>
      </w:r>
      <w:r>
        <w:rPr>
          <w:rFonts w:ascii="Tahoma" w:cs="Tahoma" w:eastAsia="Tahoma" w:hAnsi="Tahoma"/>
          <w:b/>
          <w:bCs/>
          <w:color w:val="1E1B20"/>
          <w:sz w:val="26"/>
          <w:szCs w:val="26"/>
          <w:rtl/>
        </w:rPr>
        <w:t xml:space="preserve">۲. دامنه کاربرد</w:t>
      </w:r>
    </w:p>
    <w:p>
      <w:pPr>
        <w:bidi/>
        <w:spacing w:after="120" w:line="330"/>
        <w:jc w:val="both"/>
      </w:pPr>
      <w:r>
        <w:rPr>
          <w:rFonts w:ascii="Tahoma" w:cs="Tahoma" w:eastAsia="Tahoma" w:hAnsi="Tahoma"/>
          <w:sz w:val="21"/>
          <w:szCs w:val="21"/>
          <w:rtl/>
        </w:rPr>
        <w:t xml:space="preserve">این روش برای همه واحدها و فرآیندهای شرکت کاربرد دارد؛ از جمله واردات و بازرگانی برنج، قهوه و سایر کالاها؛ و واحدهای مدیریت، بازرگانی خارجی و ثبت سفارش، تأمین و خرید، حمل و ترخیص، کنترل کیفیت، انبار، فروش و خدمات مشتری، مالی، منابع انسانی و تحقیق و توسعه. همچنین شامل بهبودهای مرتبط با تأمین‌کنندگان، کارگزاران حمل و ترخیص و سایر پیمانکاران بیرونی است.</w:t>
      </w:r>
    </w:p>
    <w:p>
      <w:pPr>
        <w:keepNext/>
        <w:spacing w:after="0" w:before="0" w:line="300" w:lineRule="exact"/>
      </w:pPr>
    </w:p>
    <w:p>
      <w:pPr>
        <w:keepNext/>
        <w:bidi/>
        <w:spacing w:after="200" w:before="0" w:line="465" w:lineRule="exact"/>
        <w:ind w:right="160"/>
        <w:jc w:val="right"/>
      </w:pPr>
      <w:r>
        <w:drawing>
          <wp:anchor distT="0" distB="0" distL="0" distR="0" simplePos="0" allowOverlap="1" behindDoc="1" locked="0" layoutInCell="1" relativeHeight="295275">
            <wp:simplePos x="0" y="0"/>
            <wp:positionH relativeFrom="margin">
              <wp:posOffset>0</wp:posOffset>
            </wp:positionH>
            <wp:positionV relativeFrom="paragraph">
              <wp:posOffset>0</wp:posOffset>
            </wp:positionV>
            <wp:extent cx="5734050" cy="2952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95275"/>
                    </a:xfrm>
                    <a:prstGeom prst="rect">
                      <a:avLst/>
                    </a:prstGeom>
                  </pic:spPr>
                </pic:pic>
              </a:graphicData>
            </a:graphic>
          </wp:anchor>
        </w:drawing>
      </w:r>
      <w:r>
        <w:rPr>
          <w:rFonts w:ascii="Tahoma" w:cs="Tahoma" w:eastAsia="Tahoma" w:hAnsi="Tahoma"/>
          <w:b/>
          <w:bCs/>
          <w:color w:val="1E1B20"/>
          <w:sz w:val="26"/>
          <w:szCs w:val="26"/>
          <w:rtl/>
        </w:rPr>
        <w:t xml:space="preserve">۳. تعاریف</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88"/>
        <w:gridCol w:w="6838"/>
      </w:tblGrid>
      <w:tr>
        <w:trPr>
          <w:cantSplit/>
          <w:tblHeader/>
        </w:trPr>
        <w:tc>
          <w:tcPr>
            <w:tcW w:type="dxa" w:w="2188"/>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اصطلاح</w:t>
            </w:r>
          </w:p>
        </w:tc>
        <w:tc>
          <w:tcPr>
            <w:tcW w:type="dxa" w:w="6838"/>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تعریف</w:t>
            </w:r>
          </w:p>
        </w:tc>
      </w:tr>
      <w:tr>
        <w:trPr>
          <w:cantSplit/>
          <w:tblHeader w:val="false"/>
        </w:trPr>
        <w:tc>
          <w:tcPr>
            <w:tcW w:type="dxa" w:w="2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بهبود مستمر</w:t>
            </w:r>
          </w:p>
        </w:tc>
        <w:tc>
          <w:tcPr>
            <w:tcW w:type="dxa" w:w="683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فعالیت تکرارشونده برای ارتقای عملکرد (ISO ۹۰۰۱، بند ۱۰.۳).</w:t>
            </w:r>
          </w:p>
        </w:tc>
      </w:tr>
      <w:tr>
        <w:trPr>
          <w:cantSplit/>
          <w:tblHeader w:val="false"/>
        </w:trPr>
        <w:tc>
          <w:tcPr>
            <w:tcW w:type="dxa" w:w="2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فرصت بهبود (OFI)</w:t>
            </w:r>
          </w:p>
        </w:tc>
        <w:tc>
          <w:tcPr>
            <w:tcW w:type="dxa" w:w="683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هر موقعیتی که با تغییر در فرآیند، محصول یا خدمت، نتیجه بهتری حاصل شود؛ حتی اگر عدم انطباقی وجود نداشته باشد.</w:t>
            </w:r>
          </w:p>
        </w:tc>
      </w:tr>
      <w:tr>
        <w:trPr>
          <w:cantSplit/>
          <w:tblHeader w:val="false"/>
        </w:trPr>
        <w:tc>
          <w:tcPr>
            <w:tcW w:type="dxa" w:w="2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عدم انطباق (NC)</w:t>
            </w:r>
          </w:p>
        </w:tc>
        <w:tc>
          <w:tcPr>
            <w:tcW w:type="dxa" w:w="683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برآورده‌نشدن یک الزام (قانونی، قراردادی، مشتری، استاندارد یا داخلی).</w:t>
            </w:r>
          </w:p>
        </w:tc>
      </w:tr>
      <w:tr>
        <w:trPr>
          <w:cantSplit/>
          <w:tblHeader w:val="false"/>
        </w:trPr>
        <w:tc>
          <w:tcPr>
            <w:tcW w:type="dxa" w:w="2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اصلاح (Correction)</w:t>
            </w:r>
          </w:p>
        </w:tc>
        <w:tc>
          <w:tcPr>
            <w:tcW w:type="dxa" w:w="683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اقدام فوری برای رفع اثر عدم انطباق (مثلاً جداسازی محموله معیوب).</w:t>
            </w:r>
          </w:p>
        </w:tc>
      </w:tr>
      <w:tr>
        <w:trPr>
          <w:cantSplit/>
          <w:tblHeader w:val="false"/>
        </w:trPr>
        <w:tc>
          <w:tcPr>
            <w:tcW w:type="dxa" w:w="2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اقدام اصلاحی (CA)</w:t>
            </w:r>
          </w:p>
        </w:tc>
        <w:tc>
          <w:tcPr>
            <w:tcW w:type="dxa" w:w="683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اقدام برای حذف علت ریشه‌ای عدم انطباق و جلوگیری از تکرار آن (بند ۱۰.۲).</w:t>
            </w:r>
          </w:p>
        </w:tc>
      </w:tr>
      <w:tr>
        <w:trPr>
          <w:cantSplit/>
          <w:tblHeader w:val="false"/>
        </w:trPr>
        <w:tc>
          <w:tcPr>
            <w:tcW w:type="dxa" w:w="2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علت ریشه‌ای</w:t>
            </w:r>
          </w:p>
        </w:tc>
        <w:tc>
          <w:tcPr>
            <w:tcW w:type="dxa" w:w="683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عامل بنیادی که اگر حذف شود، مشکل تکرار نمی‌شود.</w:t>
            </w:r>
          </w:p>
        </w:tc>
      </w:tr>
      <w:tr>
        <w:trPr>
          <w:cantSplit/>
          <w:tblHeader w:val="false"/>
        </w:trPr>
        <w:tc>
          <w:tcPr>
            <w:tcW w:type="dxa" w:w="2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PDCA</w:t>
            </w:r>
          </w:p>
        </w:tc>
        <w:tc>
          <w:tcPr>
            <w:tcW w:type="dxa" w:w="683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چرخه برنامه‌ریزی، اجرا، بررسی و اقدام (Plan-Do-Check-Act).</w:t>
            </w:r>
          </w:p>
        </w:tc>
      </w:tr>
      <w:tr>
        <w:trPr>
          <w:cantSplit/>
          <w:tblHeader w:val="false"/>
        </w:trPr>
        <w:tc>
          <w:tcPr>
            <w:tcW w:type="dxa" w:w="2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اثربخشی</w:t>
            </w:r>
          </w:p>
        </w:tc>
        <w:tc>
          <w:tcPr>
            <w:tcW w:type="dxa" w:w="683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میزانی که اقدام انجام‌شده به نتیجه موردانتظار رسیده است.</w:t>
            </w:r>
          </w:p>
        </w:tc>
      </w:tr>
      <w:tr>
        <w:trPr>
          <w:cantSplit/>
          <w:tblHeader w:val="false"/>
        </w:trPr>
        <w:tc>
          <w:tcPr>
            <w:tcW w:type="dxa" w:w="2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مالک اقدام</w:t>
            </w:r>
          </w:p>
        </w:tc>
        <w:tc>
          <w:tcPr>
            <w:tcW w:type="dxa" w:w="683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فردی که مسئول اجرای اقدام تا تکمیل و ارائه شواهد است.</w:t>
            </w:r>
          </w:p>
        </w:tc>
      </w:tr>
      <w:tr>
        <w:trPr>
          <w:cantSplit/>
          <w:tblHeader w:val="false"/>
        </w:trPr>
        <w:tc>
          <w:tcPr>
            <w:tcW w:type="dxa" w:w="2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کمیته بهبود</w:t>
            </w:r>
          </w:p>
        </w:tc>
        <w:tc>
          <w:tcPr>
            <w:tcW w:type="dxa" w:w="683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کمیته‌ای به ریاست مدیرعامل یا نماینده او که درخواست‌ها را تصویب، پیگیری و ارزیابی می‌کند.</w:t>
            </w:r>
          </w:p>
        </w:tc>
      </w:tr>
    </w:tbl>
    <w:p>
      <w:pPr>
        <w:keepNext/>
        <w:spacing w:after="0" w:before="0" w:line="300" w:lineRule="exact"/>
      </w:pPr>
    </w:p>
    <w:p>
      <w:pPr>
        <w:keepNext/>
        <w:bidi/>
        <w:spacing w:after="200" w:before="0" w:line="465" w:lineRule="exact"/>
        <w:ind w:right="160"/>
        <w:jc w:val="right"/>
      </w:pPr>
      <w:r>
        <w:drawing>
          <wp:anchor distT="0" distB="0" distL="0" distR="0" simplePos="0" allowOverlap="1" behindDoc="1" locked="0" layoutInCell="1" relativeHeight="295275">
            <wp:simplePos x="0" y="0"/>
            <wp:positionH relativeFrom="margin">
              <wp:posOffset>0</wp:posOffset>
            </wp:positionH>
            <wp:positionV relativeFrom="paragraph">
              <wp:posOffset>0</wp:posOffset>
            </wp:positionV>
            <wp:extent cx="5734050" cy="2952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95275"/>
                    </a:xfrm>
                    <a:prstGeom prst="rect">
                      <a:avLst/>
                    </a:prstGeom>
                  </pic:spPr>
                </pic:pic>
              </a:graphicData>
            </a:graphic>
          </wp:anchor>
        </w:drawing>
      </w:r>
      <w:r>
        <w:rPr>
          <w:rFonts w:ascii="Tahoma" w:cs="Tahoma" w:eastAsia="Tahoma" w:hAnsi="Tahoma"/>
          <w:b/>
          <w:bCs/>
          <w:color w:val="1E1B20"/>
          <w:sz w:val="26"/>
          <w:szCs w:val="26"/>
          <w:rtl/>
        </w:rPr>
        <w:t xml:space="preserve">۴. مراجع</w:t>
      </w:r>
    </w:p>
    <w:p>
      <w:pPr>
        <w:pStyle w:val="ListParagraph"/>
        <w:numPr>
          <w:ilvl w:val="0"/>
          <w:numId w:val="2"/>
        </w:numPr>
        <w:bidi/>
        <w:spacing w:after="70" w:line="310"/>
        <w:jc w:val="both"/>
      </w:pPr>
      <w:r>
        <w:rPr>
          <w:rFonts w:ascii="Tahoma" w:cs="Tahoma" w:eastAsia="Tahoma" w:hAnsi="Tahoma"/>
          <w:sz w:val="21"/>
          <w:szCs w:val="21"/>
          <w:rtl/>
        </w:rPr>
        <w:t xml:space="preserve">استاندارد ISO ۹۰۰۱:۲۰۱۵ — بندهای ۶.۱ (ریسک و فرصت)، ۹.۱.۳ (تحلیل و ارزیابی)، ۹.۲ (ممیزی داخلی)، ۹.۳ (بازنگری مدیریت)، ۱۰.۱، ۱۰.۲ و ۱۰.۳.</w:t>
      </w:r>
    </w:p>
    <w:p>
      <w:pPr>
        <w:pStyle w:val="ListParagraph"/>
        <w:numPr>
          <w:ilvl w:val="0"/>
          <w:numId w:val="2"/>
        </w:numPr>
        <w:bidi/>
        <w:spacing w:after="70" w:line="310"/>
        <w:jc w:val="both"/>
      </w:pPr>
      <w:r>
        <w:rPr>
          <w:rFonts w:ascii="Tahoma" w:cs="Tahoma" w:eastAsia="Tahoma" w:hAnsi="Tahoma"/>
          <w:sz w:val="21"/>
          <w:szCs w:val="21"/>
          <w:rtl/>
        </w:rPr>
        <w:t xml:space="preserve">نظام‌نامه کیفیت شرکت و روش‌های اجرایی کنترل مستندات، ممیزی داخلی، مدیریت ریسک و رسیدگی به شکایات.</w:t>
      </w:r>
    </w:p>
    <w:p>
      <w:pPr>
        <w:pStyle w:val="ListParagraph"/>
        <w:numPr>
          <w:ilvl w:val="0"/>
          <w:numId w:val="2"/>
        </w:numPr>
        <w:bidi/>
        <w:spacing w:after="70" w:line="310"/>
        <w:jc w:val="both"/>
      </w:pPr>
      <w:r>
        <w:rPr>
          <w:rFonts w:ascii="Tahoma" w:cs="Tahoma" w:eastAsia="Tahoma" w:hAnsi="Tahoma"/>
          <w:sz w:val="21"/>
          <w:szCs w:val="21"/>
          <w:rtl/>
        </w:rPr>
        <w:t xml:space="preserve">طرح تجاری و مدیریت استراتژیک شرکت (ST-۰۰۶) — ارزش «بهبود مستمر» و اهداف کوتاه‌مدت و بلندمدت.</w:t>
      </w:r>
    </w:p>
    <w:p>
      <w:pPr>
        <w:pStyle w:val="ListParagraph"/>
        <w:numPr>
          <w:ilvl w:val="0"/>
          <w:numId w:val="2"/>
        </w:numPr>
        <w:bidi/>
        <w:spacing w:after="70" w:line="310"/>
        <w:jc w:val="both"/>
      </w:pPr>
      <w:r>
        <w:rPr>
          <w:rFonts w:ascii="Tahoma" w:cs="Tahoma" w:eastAsia="Tahoma" w:hAnsi="Tahoma"/>
          <w:sz w:val="21"/>
          <w:szCs w:val="21"/>
          <w:rtl/>
        </w:rPr>
        <w:t xml:space="preserve">گزارش جامع تحقیق و توسعه صنعت قهوه (RD-۰۰۱، بازنگری ۰۱) — بخش شاخص‌ها و ثبت ریسک.</w:t>
      </w:r>
    </w:p>
    <w:p>
      <w:pPr>
        <w:keepNext/>
        <w:spacing w:after="0" w:before="0" w:line="300" w:lineRule="exact"/>
      </w:pPr>
    </w:p>
    <w:p>
      <w:pPr>
        <w:keepNext/>
        <w:bidi/>
        <w:spacing w:after="200" w:before="0" w:line="465" w:lineRule="exact"/>
        <w:ind w:right="160"/>
        <w:jc w:val="right"/>
      </w:pPr>
      <w:r>
        <w:drawing>
          <wp:anchor distT="0" distB="0" distL="0" distR="0" simplePos="0" allowOverlap="1" behindDoc="1" locked="0" layoutInCell="1" relativeHeight="295275">
            <wp:simplePos x="0" y="0"/>
            <wp:positionH relativeFrom="margin">
              <wp:posOffset>0</wp:posOffset>
            </wp:positionH>
            <wp:positionV relativeFrom="paragraph">
              <wp:posOffset>0</wp:posOffset>
            </wp:positionV>
            <wp:extent cx="5734050" cy="2952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95275"/>
                    </a:xfrm>
                    <a:prstGeom prst="rect">
                      <a:avLst/>
                    </a:prstGeom>
                  </pic:spPr>
                </pic:pic>
              </a:graphicData>
            </a:graphic>
          </wp:anchor>
        </w:drawing>
      </w:r>
      <w:r>
        <w:rPr>
          <w:rFonts w:ascii="Tahoma" w:cs="Tahoma" w:eastAsia="Tahoma" w:hAnsi="Tahoma"/>
          <w:b/>
          <w:bCs/>
          <w:color w:val="1E1B20"/>
          <w:sz w:val="26"/>
          <w:szCs w:val="26"/>
          <w:rtl/>
        </w:rPr>
        <w:t xml:space="preserve">۵. مسئولیت‌ها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88"/>
        <w:gridCol w:w="6838"/>
      </w:tblGrid>
      <w:tr>
        <w:trPr>
          <w:cantSplit/>
          <w:tblHeader/>
        </w:trPr>
        <w:tc>
          <w:tcPr>
            <w:tcW w:type="dxa" w:w="2188"/>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نقش</w:t>
            </w:r>
          </w:p>
        </w:tc>
        <w:tc>
          <w:tcPr>
            <w:tcW w:type="dxa" w:w="6838"/>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مسئولیت</w:t>
            </w:r>
          </w:p>
        </w:tc>
      </w:tr>
      <w:tr>
        <w:trPr>
          <w:cantSplit/>
          <w:tblHeader w:val="false"/>
        </w:trPr>
        <w:tc>
          <w:tcPr>
            <w:tcW w:type="dxa" w:w="2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مدیرعامل</w:t>
            </w:r>
          </w:p>
        </w:tc>
        <w:tc>
          <w:tcPr>
            <w:tcW w:type="dxa" w:w="683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تأمین منابع؛ ریاست کمیته بهبود یا تفویض آن؛ تصویب اقدامات با هزینه یا اثر سازمانی؛ بررسی نتایج در بازنگری مدیریت.</w:t>
            </w:r>
          </w:p>
        </w:tc>
      </w:tr>
      <w:tr>
        <w:trPr>
          <w:cantSplit/>
          <w:tblHeader w:val="false"/>
        </w:trPr>
        <w:tc>
          <w:tcPr>
            <w:tcW w:type="dxa" w:w="2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نماینده مدیریت (QMR)</w:t>
            </w:r>
          </w:p>
        </w:tc>
        <w:tc>
          <w:tcPr>
            <w:tcW w:type="dxa" w:w="683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مالکیت این روش؛ نگهداری «ثبت‌نام بهبود»؛ کدگذاری؛ پیگیری مهلت‌ها؛ تهیه گزارش ماهانه؛ دبیری کمیته بهبود.</w:t>
            </w:r>
          </w:p>
        </w:tc>
      </w:tr>
      <w:tr>
        <w:trPr>
          <w:cantSplit/>
          <w:tblHeader w:val="false"/>
        </w:trPr>
        <w:tc>
          <w:tcPr>
            <w:tcW w:type="dxa" w:w="2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مدیران واحدها</w:t>
            </w:r>
          </w:p>
        </w:tc>
        <w:tc>
          <w:tcPr>
            <w:tcW w:type="dxa" w:w="683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شناسایی فرصت‌ها و عدم انطباق‌های واحد؛ تحلیل علت؛ تعیین مالک اقدام؛ اطمینان از اجرا در واحد خود.</w:t>
            </w:r>
          </w:p>
        </w:tc>
      </w:tr>
      <w:tr>
        <w:trPr>
          <w:cantSplit/>
          <w:tblHeader w:val="false"/>
        </w:trPr>
        <w:tc>
          <w:tcPr>
            <w:tcW w:type="dxa" w:w="2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مالک اقدام</w:t>
            </w:r>
          </w:p>
        </w:tc>
        <w:tc>
          <w:tcPr>
            <w:tcW w:type="dxa" w:w="683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اجرای برنامه اقدام طبق زمان‌بندی؛ ارائه شواهد اجرا به QMR.</w:t>
            </w:r>
          </w:p>
        </w:tc>
      </w:tr>
      <w:tr>
        <w:trPr>
          <w:cantSplit/>
          <w:tblHeader w:val="false"/>
        </w:trPr>
        <w:tc>
          <w:tcPr>
            <w:tcW w:type="dxa" w:w="2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همه کارکنان</w:t>
            </w:r>
          </w:p>
        </w:tc>
        <w:tc>
          <w:tcPr>
            <w:tcW w:type="dxa" w:w="683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گزارش مشکلات و ارائه پیشنهاد بهبود؛ مشارکت در تیم‌های حل مسئله.</w:t>
            </w:r>
          </w:p>
        </w:tc>
      </w:tr>
      <w:tr>
        <w:trPr>
          <w:cantSplit/>
          <w:tblHeader w:val="false"/>
        </w:trPr>
        <w:tc>
          <w:tcPr>
            <w:tcW w:type="dxa" w:w="2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واحد کیفیت</w:t>
            </w:r>
          </w:p>
        </w:tc>
        <w:tc>
          <w:tcPr>
            <w:tcW w:type="dxa" w:w="683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ثبت عدم انطباق‌های محصول و محموله؛ مشارکت در تحلیل علت و ارزیابی اثربخشی.</w:t>
            </w:r>
          </w:p>
        </w:tc>
      </w:tr>
      <w:tr>
        <w:trPr>
          <w:cantSplit/>
          <w:tblHeader w:val="false"/>
        </w:trPr>
        <w:tc>
          <w:tcPr>
            <w:tcW w:type="dxa" w:w="2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واحد مالی</w:t>
            </w:r>
          </w:p>
        </w:tc>
        <w:tc>
          <w:tcPr>
            <w:tcW w:type="dxa" w:w="683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برآورد هزینه و صرفه‌جویی اقدامات؛ تأمین بودجه مصوب.</w:t>
            </w:r>
          </w:p>
        </w:tc>
      </w:tr>
    </w:tbl>
    <w:p>
      <w:pPr>
        <w:keepNext/>
        <w:bidi/>
        <w:spacing w:after="80" w:before="160"/>
        <w:jc w:val="center"/>
      </w:pPr>
      <w:r>
        <w:rPr>
          <w:rFonts w:ascii="Tahoma" w:cs="Tahoma" w:eastAsia="Tahoma" w:hAnsi="Tahoma"/>
          <w:b/>
          <w:bCs/>
          <w:color w:val="595959"/>
          <w:sz w:val="19"/>
          <w:szCs w:val="19"/>
          <w:rtl/>
        </w:rPr>
        <w:t xml:space="preserve">ماتریس مسئولیت (RACI) — م: مسئول اجرا، پ: پاسخگو، ش: مشورت، ا: اطلاع</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8"/>
        <w:gridCol w:w="1188"/>
        <w:gridCol w:w="1188"/>
        <w:gridCol w:w="1188"/>
        <w:gridCol w:w="1188"/>
        <w:gridCol w:w="1186"/>
      </w:tblGrid>
      <w:tr>
        <w:trPr>
          <w:cantSplit/>
          <w:tblHeader/>
        </w:trPr>
        <w:tc>
          <w:tcPr>
            <w:tcW w:type="dxa" w:w="3088"/>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فعالیت</w:t>
            </w:r>
          </w:p>
        </w:tc>
        <w:tc>
          <w:tcPr>
            <w:tcW w:type="dxa" w:w="1188"/>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مدیرعامل</w:t>
            </w:r>
          </w:p>
        </w:tc>
        <w:tc>
          <w:tcPr>
            <w:tcW w:type="dxa" w:w="1188"/>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QMR</w:t>
            </w:r>
          </w:p>
        </w:tc>
        <w:tc>
          <w:tcPr>
            <w:tcW w:type="dxa" w:w="1188"/>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مدیر واحد</w:t>
            </w:r>
          </w:p>
        </w:tc>
        <w:tc>
          <w:tcPr>
            <w:tcW w:type="dxa" w:w="1188"/>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مالک اقدام</w:t>
            </w:r>
          </w:p>
        </w:tc>
        <w:tc>
          <w:tcPr>
            <w:tcW w:type="dxa" w:w="1186"/>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کارکنان</w:t>
            </w:r>
          </w:p>
        </w:tc>
      </w:tr>
      <w:tr>
        <w:trPr>
          <w:cantSplit/>
          <w:tblHeader w:val="false"/>
        </w:trPr>
        <w:tc>
          <w:tcPr>
            <w:tcW w:type="dxa" w:w="30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ثبت پیشنهاد یا مشکل</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ش</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118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w:t>
            </w:r>
          </w:p>
        </w:tc>
      </w:tr>
      <w:tr>
        <w:trPr>
          <w:cantSplit/>
          <w:tblHeader w:val="false"/>
        </w:trPr>
        <w:tc>
          <w:tcPr>
            <w:tcW w:type="dxa" w:w="30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ثبت و کدگذاری در ثبت‌نام بهبود</w:t>
            </w:r>
          </w:p>
        </w:tc>
        <w:tc>
          <w:tcPr>
            <w:tcW w:type="dxa" w:w="1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w:t>
            </w:r>
          </w:p>
        </w:tc>
        <w:tc>
          <w:tcPr>
            <w:tcW w:type="dxa" w:w="1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م/پ</w:t>
            </w:r>
          </w:p>
        </w:tc>
        <w:tc>
          <w:tcPr>
            <w:tcW w:type="dxa" w:w="1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w:t>
            </w:r>
          </w:p>
        </w:tc>
        <w:tc>
          <w:tcPr>
            <w:tcW w:type="dxa" w:w="1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118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r>
      <w:tr>
        <w:trPr>
          <w:cantSplit/>
          <w:tblHeader w:val="false"/>
        </w:trPr>
        <w:tc>
          <w:tcPr>
            <w:tcW w:type="dxa" w:w="30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اولویت‌بندی و تصویب</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پ</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ش</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118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r>
      <w:tr>
        <w:trPr>
          <w:cantSplit/>
          <w:tblHeader w:val="false"/>
        </w:trPr>
        <w:tc>
          <w:tcPr>
            <w:tcW w:type="dxa" w:w="30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تحلیل علت ریشه‌ای</w:t>
            </w:r>
          </w:p>
        </w:tc>
        <w:tc>
          <w:tcPr>
            <w:tcW w:type="dxa" w:w="1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w:t>
            </w:r>
          </w:p>
        </w:tc>
        <w:tc>
          <w:tcPr>
            <w:tcW w:type="dxa" w:w="1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ش</w:t>
            </w:r>
          </w:p>
        </w:tc>
        <w:tc>
          <w:tcPr>
            <w:tcW w:type="dxa" w:w="1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پ</w:t>
            </w:r>
          </w:p>
        </w:tc>
        <w:tc>
          <w:tcPr>
            <w:tcW w:type="dxa" w:w="1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w:t>
            </w:r>
          </w:p>
        </w:tc>
        <w:tc>
          <w:tcPr>
            <w:tcW w:type="dxa" w:w="118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ش</w:t>
            </w:r>
          </w:p>
        </w:tc>
      </w:tr>
      <w:tr>
        <w:trPr>
          <w:cantSplit/>
          <w:tblHeader w:val="false"/>
        </w:trPr>
        <w:tc>
          <w:tcPr>
            <w:tcW w:type="dxa" w:w="30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اجرای برنامه اقدام</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پ</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w:t>
            </w:r>
          </w:p>
        </w:tc>
        <w:tc>
          <w:tcPr>
            <w:tcW w:type="dxa" w:w="118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ش</w:t>
            </w:r>
          </w:p>
        </w:tc>
      </w:tr>
      <w:tr>
        <w:trPr>
          <w:cantSplit/>
          <w:tblHeader w:val="false"/>
        </w:trPr>
        <w:tc>
          <w:tcPr>
            <w:tcW w:type="dxa" w:w="30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ارزیابی اثربخشی</w:t>
            </w:r>
          </w:p>
        </w:tc>
        <w:tc>
          <w:tcPr>
            <w:tcW w:type="dxa" w:w="1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w:t>
            </w:r>
          </w:p>
        </w:tc>
        <w:tc>
          <w:tcPr>
            <w:tcW w:type="dxa" w:w="1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م/پ</w:t>
            </w:r>
          </w:p>
        </w:tc>
        <w:tc>
          <w:tcPr>
            <w:tcW w:type="dxa" w:w="1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ش</w:t>
            </w:r>
          </w:p>
        </w:tc>
        <w:tc>
          <w:tcPr>
            <w:tcW w:type="dxa" w:w="1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ش</w:t>
            </w:r>
          </w:p>
        </w:tc>
        <w:tc>
          <w:tcPr>
            <w:tcW w:type="dxa" w:w="118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r>
      <w:tr>
        <w:trPr>
          <w:cantSplit/>
          <w:tblHeader w:val="false"/>
        </w:trPr>
        <w:tc>
          <w:tcPr>
            <w:tcW w:type="dxa" w:w="30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استانداردسازی و بستن پرونده</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پ</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w:t>
            </w:r>
          </w:p>
        </w:tc>
        <w:tc>
          <w:tcPr>
            <w:tcW w:type="dxa" w:w="1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ش</w:t>
            </w:r>
          </w:p>
        </w:tc>
        <w:tc>
          <w:tcPr>
            <w:tcW w:type="dxa" w:w="118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w:t>
            </w:r>
          </w:p>
        </w:tc>
      </w:tr>
    </w:tbl>
    <w:p>
      <w:r>
        <w:br w:type="page"/>
      </w:r>
    </w:p>
    <w:p>
      <w:pPr>
        <w:keepNext/>
        <w:spacing w:after="0" w:before="0" w:line="300" w:lineRule="exact"/>
      </w:pPr>
    </w:p>
    <w:p>
      <w:pPr>
        <w:keepNext/>
        <w:bidi/>
        <w:spacing w:after="200" w:before="0" w:line="465" w:lineRule="exact"/>
        <w:ind w:right="160"/>
        <w:jc w:val="right"/>
      </w:pPr>
      <w:r>
        <w:drawing>
          <wp:anchor distT="0" distB="0" distL="0" distR="0" simplePos="0" allowOverlap="1" behindDoc="1" locked="0" layoutInCell="1" relativeHeight="295275">
            <wp:simplePos x="0" y="0"/>
            <wp:positionH relativeFrom="margin">
              <wp:posOffset>0</wp:posOffset>
            </wp:positionH>
            <wp:positionV relativeFrom="paragraph">
              <wp:posOffset>0</wp:posOffset>
            </wp:positionV>
            <wp:extent cx="5734050" cy="2952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95275"/>
                    </a:xfrm>
                    <a:prstGeom prst="rect">
                      <a:avLst/>
                    </a:prstGeom>
                  </pic:spPr>
                </pic:pic>
              </a:graphicData>
            </a:graphic>
          </wp:anchor>
        </w:drawing>
      </w:r>
      <w:r>
        <w:rPr>
          <w:rFonts w:ascii="Tahoma" w:cs="Tahoma" w:eastAsia="Tahoma" w:hAnsi="Tahoma"/>
          <w:b/>
          <w:bCs/>
          <w:color w:val="1E1B20"/>
          <w:sz w:val="26"/>
          <w:szCs w:val="26"/>
          <w:rtl/>
        </w:rPr>
        <w:t xml:space="preserve">۶. شرح روش اجرایی</w:t>
      </w:r>
    </w:p>
    <w:p>
      <w:pPr>
        <w:keepNext/>
        <w:bidi/>
        <w:spacing w:after="100" w:before="220"/>
        <w:jc w:val="right"/>
      </w:pPr>
      <w:r>
        <w:rPr>
          <w:rFonts w:ascii="Tahoma" w:cs="Tahoma" w:eastAsia="Tahoma" w:hAnsi="Tahoma"/>
          <w:b/>
          <w:bCs/>
          <w:color w:val="3A3340"/>
          <w:sz w:val="23"/>
          <w:szCs w:val="23"/>
          <w:rtl/>
        </w:rPr>
        <w:t xml:space="preserve">◂ ۶-۱. منابع شناسایی فرصت‌های بهبود</w:t>
      </w:r>
    </w:p>
    <w:p>
      <w:pPr>
        <w:keepNext/>
        <w:bidi/>
        <w:spacing w:after="80" w:before="160"/>
        <w:jc w:val="center"/>
      </w:pPr>
      <w:r>
        <w:rPr>
          <w:rFonts w:ascii="Tahoma" w:cs="Tahoma" w:eastAsia="Tahoma" w:hAnsi="Tahoma"/>
          <w:b/>
          <w:bCs/>
          <w:color w:val="595959"/>
          <w:sz w:val="19"/>
          <w:szCs w:val="19"/>
          <w:rtl/>
        </w:rPr>
        <w:t xml:space="preserve">جدول ۱: ورودی‌های فرآیند بهبود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5"/>
        <w:gridCol w:w="4513"/>
        <w:gridCol w:w="1858"/>
      </w:tblGrid>
      <w:tr>
        <w:trPr>
          <w:cantSplit/>
          <w:tblHeader/>
        </w:trPr>
        <w:tc>
          <w:tcPr>
            <w:tcW w:type="dxa" w:w="2655"/>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منبع</w:t>
            </w:r>
          </w:p>
        </w:tc>
        <w:tc>
          <w:tcPr>
            <w:tcW w:type="dxa" w:w="4513"/>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نمونه در شرکت</w:t>
            </w:r>
          </w:p>
        </w:tc>
        <w:tc>
          <w:tcPr>
            <w:tcW w:type="dxa" w:w="1858"/>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دوره بررسی</w:t>
            </w:r>
          </w:p>
        </w:tc>
      </w:tr>
      <w:tr>
        <w:trPr>
          <w:cantSplit/>
          <w:tblHeader w:val="false"/>
        </w:trPr>
        <w:tc>
          <w:tcPr>
            <w:tcW w:type="dxa" w:w="2655"/>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شکایات و بازخورد مشتری</w:t>
            </w:r>
          </w:p>
        </w:tc>
        <w:tc>
          <w:tcPr>
            <w:tcW w:type="dxa" w:w="451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شکایت عمده‌فروش از درصد دانه شکسته برنج؛ تأخیر تحویل</w:t>
            </w:r>
          </w:p>
        </w:tc>
        <w:tc>
          <w:tcPr>
            <w:tcW w:type="dxa" w:w="185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پیوسته</w:t>
            </w:r>
          </w:p>
        </w:tc>
      </w:tr>
      <w:tr>
        <w:trPr>
          <w:cantSplit/>
          <w:tblHeader w:val="false"/>
        </w:trPr>
        <w:tc>
          <w:tcPr>
            <w:tcW w:type="dxa" w:w="2655"/>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عدم انطباق محصول و محموله</w:t>
            </w:r>
          </w:p>
        </w:tc>
        <w:tc>
          <w:tcPr>
            <w:tcW w:type="dxa" w:w="451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مغایرت محموله با نمونه پیش از حمل؛ کسری وزن</w:t>
            </w:r>
          </w:p>
        </w:tc>
        <w:tc>
          <w:tcPr>
            <w:tcW w:type="dxa" w:w="185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پیوسته</w:t>
            </w:r>
          </w:p>
        </w:tc>
      </w:tr>
      <w:tr>
        <w:trPr>
          <w:cantSplit/>
          <w:tblHeader w:val="false"/>
        </w:trPr>
        <w:tc>
          <w:tcPr>
            <w:tcW w:type="dxa" w:w="2655"/>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ممیزی داخلی و خارجی</w:t>
            </w:r>
          </w:p>
        </w:tc>
        <w:tc>
          <w:tcPr>
            <w:tcW w:type="dxa" w:w="451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یافته‌های ممیزی</w:t>
            </w:r>
          </w:p>
        </w:tc>
        <w:tc>
          <w:tcPr>
            <w:tcW w:type="dxa" w:w="185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طبق برنامه ممیزی</w:t>
            </w:r>
          </w:p>
        </w:tc>
      </w:tr>
      <w:tr>
        <w:trPr>
          <w:cantSplit/>
          <w:tblHeader w:val="false"/>
        </w:trPr>
        <w:tc>
          <w:tcPr>
            <w:tcW w:type="dxa" w:w="2655"/>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پایش شاخص‌ها (KPI)</w:t>
            </w:r>
          </w:p>
        </w:tc>
        <w:tc>
          <w:tcPr>
            <w:tcW w:type="dxa" w:w="451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افزایش زمان ترخیص؛ کاهش حاشیه سود</w:t>
            </w:r>
          </w:p>
        </w:tc>
        <w:tc>
          <w:tcPr>
            <w:tcW w:type="dxa" w:w="185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ماهانه</w:t>
            </w:r>
          </w:p>
        </w:tc>
      </w:tr>
      <w:tr>
        <w:trPr>
          <w:cantSplit/>
          <w:tblHeader w:val="false"/>
        </w:trPr>
        <w:tc>
          <w:tcPr>
            <w:tcW w:type="dxa" w:w="2655"/>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ارزیابی تأمین‌کنندگان</w:t>
            </w:r>
          </w:p>
        </w:tc>
        <w:tc>
          <w:tcPr>
            <w:tcW w:type="dxa" w:w="451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تأمین‌کننده با امتیاز زیر ۶۰</w:t>
            </w:r>
          </w:p>
        </w:tc>
        <w:tc>
          <w:tcPr>
            <w:tcW w:type="dxa" w:w="185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هر محموله / شش‌ماهه</w:t>
            </w:r>
          </w:p>
        </w:tc>
      </w:tr>
      <w:tr>
        <w:trPr>
          <w:cantSplit/>
          <w:tblHeader w:val="false"/>
        </w:trPr>
        <w:tc>
          <w:tcPr>
            <w:tcW w:type="dxa" w:w="2655"/>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ریسک‌ها و فرصت‌ها</w:t>
            </w:r>
          </w:p>
        </w:tc>
        <w:tc>
          <w:tcPr>
            <w:tcW w:type="dxa" w:w="451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ریسک‌های امتیاز بالا در ثبت ریسک</w:t>
            </w:r>
          </w:p>
        </w:tc>
        <w:tc>
          <w:tcPr>
            <w:tcW w:type="dxa" w:w="185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شش‌ماهه</w:t>
            </w:r>
          </w:p>
        </w:tc>
      </w:tr>
      <w:tr>
        <w:trPr>
          <w:cantSplit/>
          <w:tblHeader w:val="false"/>
        </w:trPr>
        <w:tc>
          <w:tcPr>
            <w:tcW w:type="dxa" w:w="2655"/>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پیشنهادهای کارکنان</w:t>
            </w:r>
          </w:p>
        </w:tc>
        <w:tc>
          <w:tcPr>
            <w:tcW w:type="dxa" w:w="451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دیجیتال‌کردن پرونده ترخیص</w:t>
            </w:r>
          </w:p>
        </w:tc>
        <w:tc>
          <w:tcPr>
            <w:tcW w:type="dxa" w:w="185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پیوسته</w:t>
            </w:r>
          </w:p>
        </w:tc>
      </w:tr>
      <w:tr>
        <w:trPr>
          <w:cantSplit/>
          <w:tblHeader w:val="false"/>
        </w:trPr>
        <w:tc>
          <w:tcPr>
            <w:tcW w:type="dxa" w:w="2655"/>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تحقیق و توسعه و بازار</w:t>
            </w:r>
          </w:p>
        </w:tc>
        <w:tc>
          <w:tcPr>
            <w:tcW w:type="dxa" w:w="451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محصول یا منبع تأمین جدید؛ تغییر مقررات</w:t>
            </w:r>
          </w:p>
        </w:tc>
        <w:tc>
          <w:tcPr>
            <w:tcW w:type="dxa" w:w="185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فصلی</w:t>
            </w:r>
          </w:p>
        </w:tc>
      </w:tr>
      <w:tr>
        <w:trPr>
          <w:cantSplit/>
          <w:tblHeader w:val="false"/>
        </w:trPr>
        <w:tc>
          <w:tcPr>
            <w:tcW w:type="dxa" w:w="2655"/>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بازنگری مدیریت</w:t>
            </w:r>
          </w:p>
        </w:tc>
        <w:tc>
          <w:tcPr>
            <w:tcW w:type="dxa" w:w="451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خروجی‌ها و تصمیمات جلسه</w:t>
            </w:r>
          </w:p>
        </w:tc>
        <w:tc>
          <w:tcPr>
            <w:tcW w:type="dxa" w:w="185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سالانه</w:t>
            </w:r>
          </w:p>
        </w:tc>
      </w:tr>
      <w:tr>
        <w:trPr>
          <w:cantSplit/>
          <w:tblHeader w:val="false"/>
        </w:trPr>
        <w:tc>
          <w:tcPr>
            <w:tcW w:type="dxa" w:w="2655"/>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الگوبرداری (Benchmarking)</w:t>
            </w:r>
          </w:p>
        </w:tc>
        <w:tc>
          <w:tcPr>
            <w:tcW w:type="dxa" w:w="451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مقایسه زمان چرخه واردات با رقبا</w:t>
            </w:r>
          </w:p>
        </w:tc>
        <w:tc>
          <w:tcPr>
            <w:tcW w:type="dxa" w:w="185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سالانه</w:t>
            </w:r>
          </w:p>
        </w:tc>
      </w:tr>
    </w:tbl>
    <w:p>
      <w:pPr>
        <w:keepNext/>
        <w:bidi/>
        <w:spacing w:after="100" w:before="220"/>
        <w:jc w:val="right"/>
      </w:pPr>
      <w:r>
        <w:rPr>
          <w:rFonts w:ascii="Tahoma" w:cs="Tahoma" w:eastAsia="Tahoma" w:hAnsi="Tahoma"/>
          <w:b/>
          <w:bCs/>
          <w:color w:val="3A3340"/>
          <w:sz w:val="23"/>
          <w:szCs w:val="23"/>
          <w:rtl/>
        </w:rPr>
        <w:t xml:space="preserve">◂ ۶-۲. ثبت درخواست</w:t>
      </w:r>
    </w:p>
    <w:p>
      <w:pPr>
        <w:pStyle w:val="ListParagraph"/>
        <w:numPr>
          <w:ilvl w:val="0"/>
          <w:numId w:val="3"/>
        </w:numPr>
        <w:bidi/>
        <w:spacing w:after="70" w:line="310"/>
        <w:jc w:val="both"/>
      </w:pPr>
      <w:r>
        <w:rPr>
          <w:rFonts w:ascii="Tahoma" w:cs="Tahoma" w:eastAsia="Tahoma" w:hAnsi="Tahoma"/>
          <w:sz w:val="21"/>
          <w:szCs w:val="21"/>
          <w:rtl/>
        </w:rPr>
        <w:t xml:space="preserve">هر کارمند می‌تواند مشکل یا پیشنهاد را با فرم </w:t>
      </w:r>
      <w:r>
        <w:rPr>
          <w:rFonts w:ascii="Tahoma" w:cs="Tahoma" w:eastAsia="Tahoma" w:hAnsi="Tahoma"/>
          <w:b/>
          <w:bCs/>
          <w:sz w:val="21"/>
          <w:szCs w:val="21"/>
          <w:rtl/>
        </w:rPr>
        <w:t xml:space="preserve">F-۱۰-۰۱ (پیشنهاد بهبود)</w:t>
      </w:r>
      <w:r>
        <w:rPr>
          <w:rFonts w:ascii="Tahoma" w:cs="Tahoma" w:eastAsia="Tahoma" w:hAnsi="Tahoma"/>
          <w:sz w:val="21"/>
          <w:szCs w:val="21"/>
          <w:rtl/>
        </w:rPr>
        <w:t xml:space="preserve"> یا پیام به QMR ثبت کند. عدم انطباق‌های محصول، محموله یا یافته‌های ممیزی با فرم </w:t>
      </w:r>
      <w:r>
        <w:rPr>
          <w:rFonts w:ascii="Tahoma" w:cs="Tahoma" w:eastAsia="Tahoma" w:hAnsi="Tahoma"/>
          <w:b/>
          <w:bCs/>
          <w:sz w:val="21"/>
          <w:szCs w:val="21"/>
          <w:rtl/>
        </w:rPr>
        <w:t xml:space="preserve">F-۱۰-۰۲ (درخواست اقدام اصلاحی – CAR)</w:t>
      </w:r>
      <w:r>
        <w:rPr>
          <w:rFonts w:ascii="Tahoma" w:cs="Tahoma" w:eastAsia="Tahoma" w:hAnsi="Tahoma"/>
          <w:sz w:val="21"/>
          <w:szCs w:val="21"/>
          <w:rtl/>
        </w:rPr>
        <w:t xml:space="preserve"> ثبت می‌شوند.</w:t>
      </w:r>
    </w:p>
    <w:p>
      <w:pPr>
        <w:pStyle w:val="ListParagraph"/>
        <w:numPr>
          <w:ilvl w:val="0"/>
          <w:numId w:val="3"/>
        </w:numPr>
        <w:bidi/>
        <w:spacing w:after="70" w:line="310"/>
        <w:jc w:val="both"/>
      </w:pPr>
      <w:r>
        <w:rPr>
          <w:rFonts w:ascii="Tahoma" w:cs="Tahoma" w:eastAsia="Tahoma" w:hAnsi="Tahoma"/>
          <w:sz w:val="21"/>
          <w:szCs w:val="21"/>
          <w:rtl/>
        </w:rPr>
        <w:t xml:space="preserve">QMR ظرف </w:t>
      </w:r>
      <w:r>
        <w:rPr>
          <w:rFonts w:ascii="Tahoma" w:cs="Tahoma" w:eastAsia="Tahoma" w:hAnsi="Tahoma"/>
          <w:b/>
          <w:bCs/>
          <w:sz w:val="21"/>
          <w:szCs w:val="21"/>
          <w:rtl/>
        </w:rPr>
        <w:t xml:space="preserve">۲ روز کاری</w:t>
      </w:r>
      <w:r>
        <w:rPr>
          <w:rFonts w:ascii="Tahoma" w:cs="Tahoma" w:eastAsia="Tahoma" w:hAnsi="Tahoma"/>
          <w:sz w:val="21"/>
          <w:szCs w:val="21"/>
          <w:rtl/>
        </w:rPr>
        <w:t xml:space="preserve"> درخواست را در «ثبت‌نام بهبود» (F-۱۰-۰۴) با کد یکتا ثبت می‌کند. قالب کد: نوع-سال-شماره، مثلاً OFI-۱۴۰۵-۰۱۲ یا CAR-۱۴۰۵-۰۰۷.</w:t>
      </w:r>
    </w:p>
    <w:p>
      <w:pPr>
        <w:pStyle w:val="ListParagraph"/>
        <w:numPr>
          <w:ilvl w:val="0"/>
          <w:numId w:val="3"/>
        </w:numPr>
        <w:bidi/>
        <w:spacing w:after="70" w:line="310"/>
        <w:jc w:val="both"/>
      </w:pPr>
      <w:r>
        <w:rPr>
          <w:rFonts w:ascii="Tahoma" w:cs="Tahoma" w:eastAsia="Tahoma" w:hAnsi="Tahoma"/>
          <w:sz w:val="21"/>
          <w:szCs w:val="21"/>
          <w:rtl/>
        </w:rPr>
        <w:t xml:space="preserve">برای عدم انطباق، </w:t>
      </w:r>
      <w:r>
        <w:rPr>
          <w:rFonts w:ascii="Tahoma" w:cs="Tahoma" w:eastAsia="Tahoma" w:hAnsi="Tahoma"/>
          <w:b/>
          <w:bCs/>
          <w:sz w:val="21"/>
          <w:szCs w:val="21"/>
          <w:rtl/>
        </w:rPr>
        <w:t xml:space="preserve">اصلاح فوری</w:t>
      </w:r>
      <w:r>
        <w:rPr>
          <w:rFonts w:ascii="Tahoma" w:cs="Tahoma" w:eastAsia="Tahoma" w:hAnsi="Tahoma"/>
          <w:sz w:val="21"/>
          <w:szCs w:val="21"/>
          <w:rtl/>
        </w:rPr>
        <w:t xml:space="preserve"> (مثلاً جداسازی و برچسب‌زدن کالای مشکوک، اطلاع به مشتری) بدون انتظار برای جلسه کمیته انجام و ثبت می‌شود.</w:t>
      </w:r>
    </w:p>
    <w:p>
      <w:pPr>
        <w:keepNext/>
        <w:bidi/>
        <w:spacing w:after="100" w:before="220"/>
        <w:jc w:val="right"/>
      </w:pPr>
      <w:r>
        <w:rPr>
          <w:rFonts w:ascii="Tahoma" w:cs="Tahoma" w:eastAsia="Tahoma" w:hAnsi="Tahoma"/>
          <w:b/>
          <w:bCs/>
          <w:color w:val="3A3340"/>
          <w:sz w:val="23"/>
          <w:szCs w:val="23"/>
          <w:rtl/>
        </w:rPr>
        <w:t xml:space="preserve">◂ ۶-۳. ارزیابی و اولویت‌بندی</w:t>
      </w:r>
    </w:p>
    <w:p>
      <w:pPr>
        <w:bidi/>
        <w:spacing w:after="120" w:line="330"/>
        <w:jc w:val="both"/>
      </w:pPr>
      <w:r>
        <w:rPr>
          <w:rFonts w:ascii="Tahoma" w:cs="Tahoma" w:eastAsia="Tahoma" w:hAnsi="Tahoma"/>
          <w:sz w:val="21"/>
          <w:szCs w:val="21"/>
          <w:rtl/>
        </w:rPr>
        <w:t xml:space="preserve">QMR با همکاری مدیر واحد مرتبط، هر درخواست را با سه معیار امتیاز می‌دهد (هرکدام ۱ تا ۵):</w:t>
      </w:r>
    </w:p>
    <w:p>
      <w:pPr>
        <w:keepNext/>
        <w:bidi/>
        <w:spacing w:after="80" w:before="160"/>
        <w:jc w:val="center"/>
      </w:pPr>
      <w:r>
        <w:rPr>
          <w:rFonts w:ascii="Tahoma" w:cs="Tahoma" w:eastAsia="Tahoma" w:hAnsi="Tahoma"/>
          <w:b/>
          <w:bCs/>
          <w:color w:val="595959"/>
          <w:sz w:val="19"/>
          <w:szCs w:val="19"/>
          <w:rtl/>
        </w:rPr>
        <w:t xml:space="preserve">جدول ۲: معیارهای اولویت‌بندی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7"/>
        <w:gridCol w:w="1708"/>
        <w:gridCol w:w="1952"/>
        <w:gridCol w:w="2439"/>
      </w:tblGrid>
      <w:tr>
        <w:trPr>
          <w:cantSplit/>
          <w:tblHeader/>
        </w:trPr>
        <w:tc>
          <w:tcPr>
            <w:tcW w:type="dxa" w:w="2927"/>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معیار</w:t>
            </w:r>
          </w:p>
        </w:tc>
        <w:tc>
          <w:tcPr>
            <w:tcW w:type="dxa" w:w="1708"/>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۱ (کم)</w:t>
            </w:r>
          </w:p>
        </w:tc>
        <w:tc>
          <w:tcPr>
            <w:tcW w:type="dxa" w:w="1952"/>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۳ (متوسط)</w:t>
            </w:r>
          </w:p>
        </w:tc>
        <w:tc>
          <w:tcPr>
            <w:tcW w:type="dxa" w:w="2439"/>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۵ (زیاد)</w:t>
            </w:r>
          </w:p>
        </w:tc>
      </w:tr>
      <w:tr>
        <w:trPr>
          <w:cantSplit/>
          <w:tblHeader w:val="false"/>
        </w:trPr>
        <w:tc>
          <w:tcPr>
            <w:tcW w:type="dxa" w:w="292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اثر (I) بر مشتری، سود، انطباق قانونی یا ایمنی غذا</w:t>
            </w:r>
          </w:p>
        </w:tc>
        <w:tc>
          <w:tcPr>
            <w:tcW w:type="dxa" w:w="170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اثر جزئی داخلی</w:t>
            </w:r>
          </w:p>
        </w:tc>
        <w:tc>
          <w:tcPr>
            <w:tcW w:type="dxa" w:w="1952"/>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اثر محسوس بر یک فرآیند یا مشتری</w:t>
            </w:r>
          </w:p>
        </w:tc>
        <w:tc>
          <w:tcPr>
            <w:tcW w:type="dxa" w:w="243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اثر بر چند مشتری، ایمنی غذا، الزام قانونی یا زیان مالی قابل‌توجه</w:t>
            </w:r>
          </w:p>
        </w:tc>
      </w:tr>
      <w:tr>
        <w:trPr>
          <w:cantSplit/>
          <w:tblHeader w:val="false"/>
        </w:trPr>
        <w:tc>
          <w:tcPr>
            <w:tcW w:type="dxa" w:w="2927"/>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فوریت / احتمال تکرار (U)</w:t>
            </w:r>
          </w:p>
        </w:tc>
        <w:tc>
          <w:tcPr>
            <w:tcW w:type="dxa" w:w="170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به‌ندرت</w:t>
            </w:r>
          </w:p>
        </w:tc>
        <w:tc>
          <w:tcPr>
            <w:tcW w:type="dxa" w:w="1952"/>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گاه‌به‌گاه</w:t>
            </w:r>
          </w:p>
        </w:tc>
        <w:tc>
          <w:tcPr>
            <w:tcW w:type="dxa" w:w="243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مکرر یا قریب‌الوقوع</w:t>
            </w:r>
          </w:p>
        </w:tc>
      </w:tr>
      <w:tr>
        <w:trPr>
          <w:cantSplit/>
          <w:tblHeader w:val="false"/>
        </w:trPr>
        <w:tc>
          <w:tcPr>
            <w:tcW w:type="dxa" w:w="292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سهولت اجرا (E)</w:t>
            </w:r>
          </w:p>
        </w:tc>
        <w:tc>
          <w:tcPr>
            <w:tcW w:type="dxa" w:w="170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پرهزینه و طولانی</w:t>
            </w:r>
          </w:p>
        </w:tc>
        <w:tc>
          <w:tcPr>
            <w:tcW w:type="dxa" w:w="1952"/>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هزینه و زمان متوسط</w:t>
            </w:r>
          </w:p>
        </w:tc>
        <w:tc>
          <w:tcPr>
            <w:tcW w:type="dxa" w:w="243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کم‌هزینه و سریع</w:t>
            </w:r>
          </w:p>
        </w:tc>
      </w:tr>
    </w:tbl>
    <w:p>
      <w:pPr>
        <w:shd w:fill="F1EFF4" w:color="auto" w:val="clear"/>
        <w:bidi/>
        <w:spacing w:after="120" w:before="120"/>
        <w:jc w:val="center"/>
      </w:pPr>
      <w:r>
        <w:rPr>
          <w:rFonts w:ascii="Tahoma" w:cs="Tahoma" w:eastAsia="Tahoma" w:hAnsi="Tahoma"/>
          <w:b/>
          <w:bCs/>
          <w:sz w:val="21"/>
          <w:szCs w:val="21"/>
          <w:rtl/>
        </w:rPr>
        <w:t xml:space="preserve">امتیاز اولویت = اثر × فوریت × سهولت   (حداکثر ۱۲۵)</w:t>
      </w:r>
    </w:p>
    <w:p>
      <w:pPr>
        <w:keepNext/>
        <w:bidi/>
        <w:spacing w:after="80" w:before="160"/>
        <w:jc w:val="center"/>
      </w:pPr>
      <w:r>
        <w:rPr>
          <w:rFonts w:ascii="Tahoma" w:cs="Tahoma" w:eastAsia="Tahoma" w:hAnsi="Tahoma"/>
          <w:b/>
          <w:bCs/>
          <w:color w:val="595959"/>
          <w:sz w:val="19"/>
          <w:szCs w:val="19"/>
          <w:rtl/>
        </w:rPr>
        <w:t xml:space="preserve">جدول ۳: سطح اولویت و مهلت‌ها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4"/>
        <w:gridCol w:w="3009"/>
        <w:gridCol w:w="1630"/>
        <w:gridCol w:w="1630"/>
        <w:gridCol w:w="1503"/>
      </w:tblGrid>
      <w:tr>
        <w:trPr>
          <w:cantSplit/>
          <w:tblHeader/>
        </w:trPr>
        <w:tc>
          <w:tcPr>
            <w:tcW w:type="dxa" w:w="1254"/>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سطح</w:t>
            </w:r>
          </w:p>
        </w:tc>
        <w:tc>
          <w:tcPr>
            <w:tcW w:type="dxa" w:w="3009"/>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امتیاز</w:t>
            </w:r>
          </w:p>
        </w:tc>
        <w:tc>
          <w:tcPr>
            <w:tcW w:type="dxa" w:w="1630"/>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مهلت تحلیل علت</w:t>
            </w:r>
          </w:p>
        </w:tc>
        <w:tc>
          <w:tcPr>
            <w:tcW w:type="dxa" w:w="1630"/>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مهلت برنامه اقدام</w:t>
            </w:r>
          </w:p>
        </w:tc>
        <w:tc>
          <w:tcPr>
            <w:tcW w:type="dxa" w:w="1503"/>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تصمیم‌گیرنده</w:t>
            </w:r>
          </w:p>
        </w:tc>
      </w:tr>
      <w:tr>
        <w:trPr>
          <w:cantSplit/>
          <w:tblHeader w:val="false"/>
        </w:trPr>
        <w:tc>
          <w:tcPr>
            <w:tcW w:type="dxa" w:w="1254"/>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بحرانی</w:t>
            </w:r>
          </w:p>
        </w:tc>
        <w:tc>
          <w:tcPr>
            <w:tcW w:type="dxa" w:w="300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۶۰ و بالاتر، یا هر مورد ایمنی غذا / الزام قانونی</w:t>
            </w:r>
          </w:p>
        </w:tc>
        <w:tc>
          <w:tcPr>
            <w:tcW w:type="dxa" w:w="163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 روز کاری</w:t>
            </w:r>
          </w:p>
        </w:tc>
        <w:tc>
          <w:tcPr>
            <w:tcW w:type="dxa" w:w="163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۷ روز کاری</w:t>
            </w:r>
          </w:p>
        </w:tc>
        <w:tc>
          <w:tcPr>
            <w:tcW w:type="dxa" w:w="150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مدیرعامل</w:t>
            </w:r>
          </w:p>
        </w:tc>
      </w:tr>
      <w:tr>
        <w:trPr>
          <w:cantSplit/>
          <w:tblHeader w:val="false"/>
        </w:trPr>
        <w:tc>
          <w:tcPr>
            <w:tcW w:type="dxa" w:w="1254"/>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بالا</w:t>
            </w:r>
          </w:p>
        </w:tc>
        <w:tc>
          <w:tcPr>
            <w:tcW w:type="dxa" w:w="300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۳۰ تا ۵۹</w:t>
            </w:r>
          </w:p>
        </w:tc>
        <w:tc>
          <w:tcPr>
            <w:tcW w:type="dxa" w:w="163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۷ روز کاری</w:t>
            </w:r>
          </w:p>
        </w:tc>
        <w:tc>
          <w:tcPr>
            <w:tcW w:type="dxa" w:w="163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۱۴ روز کاری</w:t>
            </w:r>
          </w:p>
        </w:tc>
        <w:tc>
          <w:tcPr>
            <w:tcW w:type="dxa" w:w="150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کمیته بهبود</w:t>
            </w:r>
          </w:p>
        </w:tc>
      </w:tr>
      <w:tr>
        <w:trPr>
          <w:cantSplit/>
          <w:tblHeader w:val="false"/>
        </w:trPr>
        <w:tc>
          <w:tcPr>
            <w:tcW w:type="dxa" w:w="1254"/>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متوسط</w:t>
            </w:r>
          </w:p>
        </w:tc>
        <w:tc>
          <w:tcPr>
            <w:tcW w:type="dxa" w:w="300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۱۲ تا ۲۹</w:t>
            </w:r>
          </w:p>
        </w:tc>
        <w:tc>
          <w:tcPr>
            <w:tcW w:type="dxa" w:w="163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۱۴ روز کاری</w:t>
            </w:r>
          </w:p>
        </w:tc>
        <w:tc>
          <w:tcPr>
            <w:tcW w:type="dxa" w:w="163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۳۰ روز</w:t>
            </w:r>
          </w:p>
        </w:tc>
        <w:tc>
          <w:tcPr>
            <w:tcW w:type="dxa" w:w="150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کمیته بهبود</w:t>
            </w:r>
          </w:p>
        </w:tc>
      </w:tr>
      <w:tr>
        <w:trPr>
          <w:cantSplit/>
          <w:tblHeader w:val="false"/>
        </w:trPr>
        <w:tc>
          <w:tcPr>
            <w:tcW w:type="dxa" w:w="1254"/>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پایین</w:t>
            </w:r>
          </w:p>
        </w:tc>
        <w:tc>
          <w:tcPr>
            <w:tcW w:type="dxa" w:w="300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کمتر از ۱۲</w:t>
            </w:r>
          </w:p>
        </w:tc>
        <w:tc>
          <w:tcPr>
            <w:tcW w:type="dxa" w:w="163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163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در برنامه سالانه بهبود</w:t>
            </w:r>
          </w:p>
        </w:tc>
        <w:tc>
          <w:tcPr>
            <w:tcW w:type="dxa" w:w="150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QMR</w:t>
            </w:r>
          </w:p>
        </w:tc>
      </w:tr>
    </w:tbl>
    <w:p>
      <w:pPr>
        <w:bidi/>
        <w:spacing w:after="120" w:line="330"/>
        <w:jc w:val="both"/>
      </w:pPr>
      <w:r>
        <w:rPr>
          <w:rFonts w:ascii="Tahoma" w:cs="Tahoma" w:eastAsia="Tahoma" w:hAnsi="Tahoma"/>
          <w:sz w:val="21"/>
          <w:szCs w:val="21"/>
          <w:rtl/>
        </w:rPr>
        <w:t xml:space="preserve">درخواست‌هایی که پذیرفته نمی‌شوند، با ذکر دلیل در ثبت‌نام بسته شده و نتیجه به ارائه‌دهنده اعلام می‌شود.</w:t>
      </w:r>
    </w:p>
    <w:p>
      <w:pPr>
        <w:keepNext/>
        <w:bidi/>
        <w:spacing w:after="100" w:before="220"/>
        <w:jc w:val="right"/>
      </w:pPr>
      <w:r>
        <w:rPr>
          <w:rFonts w:ascii="Tahoma" w:cs="Tahoma" w:eastAsia="Tahoma" w:hAnsi="Tahoma"/>
          <w:b/>
          <w:bCs/>
          <w:color w:val="3A3340"/>
          <w:sz w:val="23"/>
          <w:szCs w:val="23"/>
          <w:rtl/>
        </w:rPr>
        <w:t xml:space="preserve">◂ ۶-۴. تحلیل علت ریشه‌ای</w:t>
      </w:r>
    </w:p>
    <w:p>
      <w:pPr>
        <w:bidi/>
        <w:spacing w:after="120" w:line="330"/>
        <w:jc w:val="both"/>
      </w:pPr>
      <w:r>
        <w:rPr>
          <w:rFonts w:ascii="Tahoma" w:cs="Tahoma" w:eastAsia="Tahoma" w:hAnsi="Tahoma"/>
          <w:sz w:val="21"/>
          <w:szCs w:val="21"/>
          <w:rtl/>
        </w:rPr>
        <w:t xml:space="preserve">برای همه موارد بحرانی، بالا و متوسط، مدیر واحد با تیمی ۲ تا ۵ نفره از افراد درگیر، علت ریشه‌ای را با یکی از ابزارهای زیر تعیین می‌کند: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89"/>
        <w:gridCol w:w="3717"/>
        <w:gridCol w:w="2920"/>
      </w:tblGrid>
      <w:tr>
        <w:trPr>
          <w:cantSplit/>
          <w:tblHeader/>
        </w:trPr>
        <w:tc>
          <w:tcPr>
            <w:tcW w:type="dxa" w:w="2389"/>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ابزار</w:t>
            </w:r>
          </w:p>
        </w:tc>
        <w:tc>
          <w:tcPr>
            <w:tcW w:type="dxa" w:w="3717"/>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کاربرد</w:t>
            </w:r>
          </w:p>
        </w:tc>
        <w:tc>
          <w:tcPr>
            <w:tcW w:type="dxa" w:w="2920"/>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مثال در شرکت</w:t>
            </w:r>
          </w:p>
        </w:tc>
      </w:tr>
      <w:tr>
        <w:trPr>
          <w:cantSplit/>
          <w:tblHeader w:val="false"/>
        </w:trPr>
        <w:tc>
          <w:tcPr>
            <w:tcW w:type="dxa" w:w="238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۵ چرا (۵ Why)</w:t>
            </w:r>
          </w:p>
        </w:tc>
        <w:tc>
          <w:tcPr>
            <w:tcW w:type="dxa" w:w="371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مسائل ساده با زنجیره علت روشن</w:t>
            </w:r>
          </w:p>
        </w:tc>
        <w:tc>
          <w:tcPr>
            <w:tcW w:type="dxa" w:w="292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چرا ترخیص ۱۰ روز تأخیر داشت؟</w:t>
            </w:r>
          </w:p>
        </w:tc>
      </w:tr>
      <w:tr>
        <w:trPr>
          <w:cantSplit/>
          <w:tblHeader w:val="false"/>
        </w:trPr>
        <w:tc>
          <w:tcPr>
            <w:tcW w:type="dxa" w:w="238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نمودار استخوان ماهی (ایشیکاوا)</w:t>
            </w:r>
          </w:p>
        </w:tc>
        <w:tc>
          <w:tcPr>
            <w:tcW w:type="dxa" w:w="3717"/>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مسائل با علل متعدد؛ دسته‌ها: روش، نیروی انسانی، تأمین‌کننده، اسناد، محیط/انبار، اندازه‌گیری</w:t>
            </w:r>
          </w:p>
        </w:tc>
        <w:tc>
          <w:tcPr>
            <w:tcW w:type="dxa" w:w="292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افزایش رطوبت و آفت در انبار برنج</w:t>
            </w:r>
          </w:p>
        </w:tc>
      </w:tr>
      <w:tr>
        <w:trPr>
          <w:cantSplit/>
          <w:tblHeader w:val="false"/>
        </w:trPr>
        <w:tc>
          <w:tcPr>
            <w:tcW w:type="dxa" w:w="238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نمودار پارتو</w:t>
            </w:r>
          </w:p>
        </w:tc>
        <w:tc>
          <w:tcPr>
            <w:tcW w:type="dxa" w:w="371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تعیین علل پرتکرار (قاعده ۸۰/۲۰)</w:t>
            </w:r>
          </w:p>
        </w:tc>
        <w:tc>
          <w:tcPr>
            <w:tcW w:type="dxa" w:w="292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تحلیل علل شکایات شش‌ماهه</w:t>
            </w:r>
          </w:p>
        </w:tc>
      </w:tr>
      <w:tr>
        <w:trPr>
          <w:cantSplit/>
          <w:tblHeader w:val="false"/>
        </w:trPr>
        <w:tc>
          <w:tcPr>
            <w:tcW w:type="dxa" w:w="238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نقشه فرآیند</w:t>
            </w:r>
          </w:p>
        </w:tc>
        <w:tc>
          <w:tcPr>
            <w:tcW w:type="dxa" w:w="3717"/>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یافتن گلوگاه و مراحل بی‌ارزش</w:t>
            </w:r>
          </w:p>
        </w:tc>
        <w:tc>
          <w:tcPr>
            <w:tcW w:type="dxa" w:w="292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چرخه سفارش تا تحویل</w:t>
            </w:r>
          </w:p>
        </w:tc>
      </w:tr>
      <w:tr>
        <w:trPr>
          <w:cantSplit/>
          <w:tblHeader w:val="false"/>
        </w:trPr>
        <w:tc>
          <w:tcPr>
            <w:tcW w:type="dxa" w:w="238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تحلیل داده</w:t>
            </w:r>
          </w:p>
        </w:tc>
        <w:tc>
          <w:tcPr>
            <w:tcW w:type="dxa" w:w="371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روند شاخص‌ها و مقایسه دوره‌ها</w:t>
            </w:r>
          </w:p>
        </w:tc>
        <w:tc>
          <w:tcPr>
            <w:tcW w:type="dxa" w:w="292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حاشیه سود محموله‌ها</w:t>
            </w:r>
          </w:p>
        </w:tc>
      </w:tr>
    </w:tbl>
    <w:p>
      <w:pPr>
        <w:pBdr>
          <w:right w:val="single" w:color="D9A441" w:sz="18" w:space="8"/>
        </w:pBdr>
        <w:shd w:fill="FFF8E7" w:color="auto" w:val="clear"/>
        <w:bidi/>
        <w:spacing w:after="160" w:before="80" w:line="300"/>
        <w:ind w:left="120" w:right="120"/>
        <w:jc w:val="both"/>
      </w:pPr>
      <w:r>
        <w:rPr>
          <w:rFonts w:ascii="Tahoma" w:cs="Tahoma" w:eastAsia="Tahoma" w:hAnsi="Tahoma"/>
          <w:sz w:val="19"/>
          <w:szCs w:val="19"/>
          <w:rtl/>
        </w:rPr>
        <w:t xml:space="preserve">«خطای انسانی» به‌تنهایی علت ریشه‌ای قابل‌قبول نیست؛ باید بررسی شود چرا فرآیند اجازه وقوع خطا را داده است (نبود چک‌لیست، آموزش ناکافی، دستورالعمل مبهم و...).</w:t>
      </w:r>
    </w:p>
    <w:p>
      <w:pPr>
        <w:bidi/>
        <w:spacing w:after="120" w:line="330"/>
        <w:jc w:val="both"/>
      </w:pPr>
      <w:r>
        <w:rPr>
          <w:rFonts w:ascii="Tahoma" w:cs="Tahoma" w:eastAsia="Tahoma" w:hAnsi="Tahoma"/>
          <w:sz w:val="21"/>
          <w:szCs w:val="21"/>
          <w:rtl/>
        </w:rPr>
        <w:t xml:space="preserve">پس از تعیین علت، بررسی می‌شود که آیا </w:t>
      </w:r>
      <w:r>
        <w:rPr>
          <w:rFonts w:ascii="Tahoma" w:cs="Tahoma" w:eastAsia="Tahoma" w:hAnsi="Tahoma"/>
          <w:b/>
          <w:bCs/>
          <w:sz w:val="21"/>
          <w:szCs w:val="21"/>
          <w:rtl/>
        </w:rPr>
        <w:t xml:space="preserve">عدم انطباق مشابهی</w:t>
      </w:r>
      <w:r>
        <w:rPr>
          <w:rFonts w:ascii="Tahoma" w:cs="Tahoma" w:eastAsia="Tahoma" w:hAnsi="Tahoma"/>
          <w:sz w:val="21"/>
          <w:szCs w:val="21"/>
          <w:rtl/>
        </w:rPr>
        <w:t xml:space="preserve"> در سایر محموله‌ها، تأمین‌کنندگان یا واحدها وجود دارد یا ممکن است رخ دهد (ISO ۹۰۰۱، بند ۱۰.۲.۱-ب-۳).</w:t>
      </w:r>
    </w:p>
    <w:p>
      <w:pPr>
        <w:keepNext/>
        <w:bidi/>
        <w:spacing w:after="100" w:before="220"/>
        <w:jc w:val="right"/>
      </w:pPr>
      <w:r>
        <w:rPr>
          <w:rFonts w:ascii="Tahoma" w:cs="Tahoma" w:eastAsia="Tahoma" w:hAnsi="Tahoma"/>
          <w:b/>
          <w:bCs/>
          <w:color w:val="3A3340"/>
          <w:sz w:val="23"/>
          <w:szCs w:val="23"/>
          <w:rtl/>
        </w:rPr>
        <w:t xml:space="preserve">◂ ۶-۵. برنامه‌ریزی اقدام (Plan)</w:t>
      </w:r>
    </w:p>
    <w:p>
      <w:pPr>
        <w:bidi/>
        <w:spacing w:after="120" w:line="330"/>
        <w:jc w:val="both"/>
      </w:pPr>
      <w:r>
        <w:rPr>
          <w:rFonts w:ascii="Tahoma" w:cs="Tahoma" w:eastAsia="Tahoma" w:hAnsi="Tahoma"/>
          <w:sz w:val="21"/>
          <w:szCs w:val="21"/>
          <w:rtl/>
        </w:rPr>
        <w:t xml:space="preserve">مالک اقدام برنامه را در فرم </w:t>
      </w:r>
      <w:r>
        <w:rPr>
          <w:rFonts w:ascii="Tahoma" w:cs="Tahoma" w:eastAsia="Tahoma" w:hAnsi="Tahoma"/>
          <w:b/>
          <w:bCs/>
          <w:sz w:val="21"/>
          <w:szCs w:val="21"/>
          <w:rtl/>
        </w:rPr>
        <w:t xml:space="preserve">F-۱۰-۰۳ (برنامه اقدام)</w:t>
      </w:r>
      <w:r>
        <w:rPr>
          <w:rFonts w:ascii="Tahoma" w:cs="Tahoma" w:eastAsia="Tahoma" w:hAnsi="Tahoma"/>
          <w:sz w:val="21"/>
          <w:szCs w:val="21"/>
          <w:rtl/>
        </w:rPr>
        <w:t xml:space="preserve"> تهیه می‌کند. هر برنامه باید شامل موارد زیر باشد:</w:t>
      </w:r>
    </w:p>
    <w:p>
      <w:pPr>
        <w:pStyle w:val="ListParagraph"/>
        <w:numPr>
          <w:ilvl w:val="0"/>
          <w:numId w:val="4"/>
        </w:numPr>
        <w:bidi/>
        <w:spacing w:after="70" w:line="310"/>
        <w:jc w:val="both"/>
      </w:pPr>
      <w:r>
        <w:rPr>
          <w:rFonts w:ascii="Tahoma" w:cs="Tahoma" w:eastAsia="Tahoma" w:hAnsi="Tahoma"/>
          <w:sz w:val="21"/>
          <w:szCs w:val="21"/>
          <w:rtl/>
        </w:rPr>
        <w:t xml:space="preserve">شرح اقدام مشخص (نه کلی؛ مثلاً «افزودن آزمون رطوبت به چک‌لیست پذیرش» به‌جای «بهبود کیفیت»).</w:t>
      </w:r>
    </w:p>
    <w:p>
      <w:pPr>
        <w:pStyle w:val="ListParagraph"/>
        <w:numPr>
          <w:ilvl w:val="0"/>
          <w:numId w:val="4"/>
        </w:numPr>
        <w:bidi/>
        <w:spacing w:after="70" w:line="310"/>
        <w:jc w:val="both"/>
      </w:pPr>
      <w:r>
        <w:rPr>
          <w:rFonts w:ascii="Tahoma" w:cs="Tahoma" w:eastAsia="Tahoma" w:hAnsi="Tahoma"/>
          <w:sz w:val="21"/>
          <w:szCs w:val="21"/>
          <w:rtl/>
        </w:rPr>
        <w:t xml:space="preserve">مالک، منابع و هزینه برآوردی.</w:t>
      </w:r>
    </w:p>
    <w:p>
      <w:pPr>
        <w:pStyle w:val="ListParagraph"/>
        <w:numPr>
          <w:ilvl w:val="0"/>
          <w:numId w:val="4"/>
        </w:numPr>
        <w:bidi/>
        <w:spacing w:after="70" w:line="310"/>
        <w:jc w:val="both"/>
      </w:pPr>
      <w:r>
        <w:rPr>
          <w:rFonts w:ascii="Tahoma" w:cs="Tahoma" w:eastAsia="Tahoma" w:hAnsi="Tahoma"/>
          <w:sz w:val="21"/>
          <w:szCs w:val="21"/>
          <w:rtl/>
        </w:rPr>
        <w:t xml:space="preserve">تاریخ شروع و پایان.</w:t>
      </w:r>
    </w:p>
    <w:p>
      <w:pPr>
        <w:pStyle w:val="ListParagraph"/>
        <w:numPr>
          <w:ilvl w:val="0"/>
          <w:numId w:val="4"/>
        </w:numPr>
        <w:bidi/>
        <w:spacing w:after="70" w:line="310"/>
        <w:jc w:val="both"/>
      </w:pPr>
      <w:r>
        <w:rPr>
          <w:rFonts w:ascii="Tahoma" w:cs="Tahoma" w:eastAsia="Tahoma" w:hAnsi="Tahoma"/>
          <w:sz w:val="21"/>
          <w:szCs w:val="21"/>
          <w:rtl/>
        </w:rPr>
        <w:t xml:space="preserve">شاخص و هدف کمی برای سنجش اثربخشی (مثلاً «شکایت رطوبت از ۳ به صفر در ۶ ماه»).</w:t>
      </w:r>
    </w:p>
    <w:p>
      <w:pPr>
        <w:pStyle w:val="ListParagraph"/>
        <w:numPr>
          <w:ilvl w:val="0"/>
          <w:numId w:val="4"/>
        </w:numPr>
        <w:bidi/>
        <w:spacing w:after="70" w:line="310"/>
        <w:jc w:val="both"/>
      </w:pPr>
      <w:r>
        <w:rPr>
          <w:rFonts w:ascii="Tahoma" w:cs="Tahoma" w:eastAsia="Tahoma" w:hAnsi="Tahoma"/>
          <w:sz w:val="21"/>
          <w:szCs w:val="21"/>
          <w:rtl/>
        </w:rPr>
        <w:t xml:space="preserve">ریسک‌ها یا اثرات جانبی اقدام بر سایر فرآیندها.</w:t>
      </w:r>
    </w:p>
    <w:p>
      <w:pPr>
        <w:pStyle w:val="ListParagraph"/>
        <w:numPr>
          <w:ilvl w:val="0"/>
          <w:numId w:val="4"/>
        </w:numPr>
        <w:bidi/>
        <w:spacing w:after="70" w:line="310"/>
        <w:jc w:val="both"/>
      </w:pPr>
      <w:r>
        <w:rPr>
          <w:rFonts w:ascii="Tahoma" w:cs="Tahoma" w:eastAsia="Tahoma" w:hAnsi="Tahoma"/>
          <w:sz w:val="21"/>
          <w:szCs w:val="21"/>
          <w:rtl/>
        </w:rPr>
        <w:t xml:space="preserve">نیاز به تغییر مستندات، آموزش یا سیستم مدیریت کیفیت.</w:t>
      </w:r>
    </w:p>
    <w:p>
      <w:pPr>
        <w:bidi/>
        <w:spacing w:after="120" w:line="330"/>
        <w:jc w:val="both"/>
      </w:pPr>
      <w:r>
        <w:rPr>
          <w:rFonts w:ascii="Tahoma" w:cs="Tahoma" w:eastAsia="Tahoma" w:hAnsi="Tahoma"/>
          <w:sz w:val="21"/>
          <w:szCs w:val="21"/>
          <w:rtl/>
        </w:rPr>
        <w:t xml:space="preserve">برنامه‌های دارای هزینه بیش از سقف اختیار مدیر واحد (سقف توسط مدیرعامل تعیین می‌شود) یا اثر بر چند واحد، به تصویب کمیته بهبود یا مدیرعامل می‌رسند.</w:t>
      </w:r>
    </w:p>
    <w:p>
      <w:pPr>
        <w:keepNext/>
        <w:bidi/>
        <w:spacing w:after="100" w:before="220"/>
        <w:jc w:val="right"/>
      </w:pPr>
      <w:r>
        <w:rPr>
          <w:rFonts w:ascii="Tahoma" w:cs="Tahoma" w:eastAsia="Tahoma" w:hAnsi="Tahoma"/>
          <w:b/>
          <w:bCs/>
          <w:color w:val="3A3340"/>
          <w:sz w:val="23"/>
          <w:szCs w:val="23"/>
          <w:rtl/>
        </w:rPr>
        <w:t xml:space="preserve">◂ ۶-۶. اجرا (Do)</w:t>
      </w:r>
    </w:p>
    <w:p>
      <w:pPr>
        <w:bidi/>
        <w:spacing w:after="120" w:line="330"/>
        <w:jc w:val="both"/>
      </w:pPr>
      <w:r>
        <w:rPr>
          <w:rFonts w:ascii="Tahoma" w:cs="Tahoma" w:eastAsia="Tahoma" w:hAnsi="Tahoma"/>
          <w:sz w:val="21"/>
          <w:szCs w:val="21"/>
          <w:rtl/>
        </w:rPr>
        <w:t xml:space="preserve">مالک اقدام، برنامه را اجرا و شواهد (سند به‌روزشده، لیست حضور آموزش، صورتجلسه، عکس، فرم تکمیل‌شده) را به QMR ارائه می‌کند. برای تغییرات بزرگ، ابتدا </w:t>
      </w:r>
      <w:r>
        <w:rPr>
          <w:rFonts w:ascii="Tahoma" w:cs="Tahoma" w:eastAsia="Tahoma" w:hAnsi="Tahoma"/>
          <w:b/>
          <w:bCs/>
          <w:sz w:val="21"/>
          <w:szCs w:val="21"/>
          <w:rtl/>
        </w:rPr>
        <w:t xml:space="preserve">اجرای آزمایشی</w:t>
      </w:r>
      <w:r>
        <w:rPr>
          <w:rFonts w:ascii="Tahoma" w:cs="Tahoma" w:eastAsia="Tahoma" w:hAnsi="Tahoma"/>
          <w:sz w:val="21"/>
          <w:szCs w:val="21"/>
          <w:rtl/>
        </w:rPr>
        <w:t xml:space="preserve"> روی یک محموله، یک تأمین‌کننده یا یک واحد توصیه می‌شود. تأخیر بیش از ۱۰ روز از مهلت، توسط QMR به کمیته گزارش می‌شود.</w:t>
      </w:r>
    </w:p>
    <w:p>
      <w:pPr>
        <w:keepNext/>
        <w:bidi/>
        <w:spacing w:after="100" w:before="220"/>
        <w:jc w:val="right"/>
      </w:pPr>
      <w:r>
        <w:rPr>
          <w:rFonts w:ascii="Tahoma" w:cs="Tahoma" w:eastAsia="Tahoma" w:hAnsi="Tahoma"/>
          <w:b/>
          <w:bCs/>
          <w:color w:val="3A3340"/>
          <w:sz w:val="23"/>
          <w:szCs w:val="23"/>
          <w:rtl/>
        </w:rPr>
        <w:t xml:space="preserve">◂ ۶-۷. بررسی اثربخشی (Check)</w:t>
      </w:r>
    </w:p>
    <w:p>
      <w:pPr>
        <w:bidi/>
        <w:spacing w:after="120" w:line="330"/>
        <w:jc w:val="both"/>
      </w:pPr>
      <w:r>
        <w:rPr>
          <w:rFonts w:ascii="Tahoma" w:cs="Tahoma" w:eastAsia="Tahoma" w:hAnsi="Tahoma"/>
          <w:sz w:val="21"/>
          <w:szCs w:val="21"/>
          <w:rtl/>
        </w:rPr>
        <w:t xml:space="preserve">QMR پس از پایان اجرا و گذشت دوره پایش، اثربخشی را با شاخص تعیین‌شده بررسی و در فرم </w:t>
      </w:r>
      <w:r>
        <w:rPr>
          <w:rFonts w:ascii="Tahoma" w:cs="Tahoma" w:eastAsia="Tahoma" w:hAnsi="Tahoma"/>
          <w:b/>
          <w:bCs/>
          <w:sz w:val="21"/>
          <w:szCs w:val="21"/>
          <w:rtl/>
        </w:rPr>
        <w:t xml:space="preserve">F-۱۰-۰۵</w:t>
      </w:r>
      <w:r>
        <w:rPr>
          <w:rFonts w:ascii="Tahoma" w:cs="Tahoma" w:eastAsia="Tahoma" w:hAnsi="Tahoma"/>
          <w:sz w:val="21"/>
          <w:szCs w:val="21"/>
          <w:rtl/>
        </w:rPr>
        <w:t xml:space="preserve"> ثبت می‌کند: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91"/>
        <w:gridCol w:w="3735"/>
      </w:tblGrid>
      <w:tr>
        <w:trPr>
          <w:cantSplit/>
          <w:tblHeader/>
        </w:trPr>
        <w:tc>
          <w:tcPr>
            <w:tcW w:type="dxa" w:w="5291"/>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نوع موضوع</w:t>
            </w:r>
          </w:p>
        </w:tc>
        <w:tc>
          <w:tcPr>
            <w:tcW w:type="dxa" w:w="3735"/>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دوره پایش پیشنهادی</w:t>
            </w:r>
          </w:p>
        </w:tc>
      </w:tr>
      <w:tr>
        <w:trPr>
          <w:cantSplit/>
          <w:tblHeader w:val="false"/>
        </w:trPr>
        <w:tc>
          <w:tcPr>
            <w:tcW w:type="dxa" w:w="5291"/>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مرتبط با هر محموله (کیفیت، اسناد، ترخیص)</w:t>
            </w:r>
          </w:p>
        </w:tc>
        <w:tc>
          <w:tcPr>
            <w:tcW w:type="dxa" w:w="3735"/>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۲ تا ۳ محموله بعدی</w:t>
            </w:r>
          </w:p>
        </w:tc>
      </w:tr>
      <w:tr>
        <w:trPr>
          <w:cantSplit/>
          <w:tblHeader w:val="false"/>
        </w:trPr>
        <w:tc>
          <w:tcPr>
            <w:tcW w:type="dxa" w:w="5291"/>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شکایت مشتری</w:t>
            </w:r>
          </w:p>
        </w:tc>
        <w:tc>
          <w:tcPr>
            <w:tcW w:type="dxa" w:w="3735"/>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۳ ماه پس از اجرا</w:t>
            </w:r>
          </w:p>
        </w:tc>
      </w:tr>
      <w:tr>
        <w:trPr>
          <w:cantSplit/>
          <w:tblHeader w:val="false"/>
        </w:trPr>
        <w:tc>
          <w:tcPr>
            <w:tcW w:type="dxa" w:w="5291"/>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فرآیندهای داخلی و شاخص‌های ماهانه</w:t>
            </w:r>
          </w:p>
        </w:tc>
        <w:tc>
          <w:tcPr>
            <w:tcW w:type="dxa" w:w="3735"/>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۳ تا ۶ ماه</w:t>
            </w:r>
          </w:p>
        </w:tc>
      </w:tr>
      <w:tr>
        <w:trPr>
          <w:cantSplit/>
          <w:tblHeader w:val="false"/>
        </w:trPr>
        <w:tc>
          <w:tcPr>
            <w:tcW w:type="dxa" w:w="5291"/>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یافته ممیزی</w:t>
            </w:r>
          </w:p>
        </w:tc>
        <w:tc>
          <w:tcPr>
            <w:tcW w:type="dxa" w:w="3735"/>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ممیزی بعدی آن فرآیند</w:t>
            </w:r>
          </w:p>
        </w:tc>
      </w:tr>
    </w:tbl>
    <w:p>
      <w:pPr>
        <w:bidi/>
        <w:spacing w:after="120" w:line="330"/>
        <w:jc w:val="both"/>
      </w:pPr>
      <w:r>
        <w:rPr>
          <w:rFonts w:ascii="Tahoma" w:cs="Tahoma" w:eastAsia="Tahoma" w:hAnsi="Tahoma"/>
          <w:sz w:val="21"/>
          <w:szCs w:val="21"/>
          <w:rtl/>
        </w:rPr>
        <w:t xml:space="preserve">نتیجه یکی از سه حالت است: </w:t>
      </w:r>
      <w:r>
        <w:rPr>
          <w:rFonts w:ascii="Tahoma" w:cs="Tahoma" w:eastAsia="Tahoma" w:hAnsi="Tahoma"/>
          <w:b/>
          <w:bCs/>
          <w:sz w:val="21"/>
          <w:szCs w:val="21"/>
          <w:rtl/>
        </w:rPr>
        <w:t xml:space="preserve">اثربخش</w:t>
      </w:r>
      <w:r>
        <w:rPr>
          <w:rFonts w:ascii="Tahoma" w:cs="Tahoma" w:eastAsia="Tahoma" w:hAnsi="Tahoma"/>
          <w:sz w:val="21"/>
          <w:szCs w:val="21"/>
          <w:rtl/>
        </w:rPr>
        <w:t xml:space="preserve"> (بستن پرونده)، </w:t>
      </w:r>
      <w:r>
        <w:rPr>
          <w:rFonts w:ascii="Tahoma" w:cs="Tahoma" w:eastAsia="Tahoma" w:hAnsi="Tahoma"/>
          <w:b/>
          <w:bCs/>
          <w:sz w:val="21"/>
          <w:szCs w:val="21"/>
          <w:rtl/>
        </w:rPr>
        <w:t xml:space="preserve">نسبتاً اثربخش</w:t>
      </w:r>
      <w:r>
        <w:rPr>
          <w:rFonts w:ascii="Tahoma" w:cs="Tahoma" w:eastAsia="Tahoma" w:hAnsi="Tahoma"/>
          <w:sz w:val="21"/>
          <w:szCs w:val="21"/>
          <w:rtl/>
        </w:rPr>
        <w:t xml:space="preserve"> (تکمیل اقدام با مهلت جدید)، </w:t>
      </w:r>
      <w:r>
        <w:rPr>
          <w:rFonts w:ascii="Tahoma" w:cs="Tahoma" w:eastAsia="Tahoma" w:hAnsi="Tahoma"/>
          <w:b/>
          <w:bCs/>
          <w:sz w:val="21"/>
          <w:szCs w:val="21"/>
          <w:rtl/>
        </w:rPr>
        <w:t xml:space="preserve">غیراثربخش</w:t>
      </w:r>
      <w:r>
        <w:rPr>
          <w:rFonts w:ascii="Tahoma" w:cs="Tahoma" w:eastAsia="Tahoma" w:hAnsi="Tahoma"/>
          <w:sz w:val="21"/>
          <w:szCs w:val="21"/>
          <w:rtl/>
        </w:rPr>
        <w:t xml:space="preserve"> (بازگشت به بند ۶-۴ و تحلیل مجدد علت).</w:t>
      </w:r>
    </w:p>
    <w:p>
      <w:pPr>
        <w:keepNext/>
        <w:bidi/>
        <w:spacing w:after="100" w:before="220"/>
        <w:jc w:val="right"/>
      </w:pPr>
      <w:r>
        <w:rPr>
          <w:rFonts w:ascii="Tahoma" w:cs="Tahoma" w:eastAsia="Tahoma" w:hAnsi="Tahoma"/>
          <w:b/>
          <w:bCs/>
          <w:color w:val="3A3340"/>
          <w:sz w:val="23"/>
          <w:szCs w:val="23"/>
          <w:rtl/>
        </w:rPr>
        <w:t xml:space="preserve">◂ ۶-۸. استانداردسازی و بستن پرونده (Act)</w:t>
      </w:r>
    </w:p>
    <w:p>
      <w:pPr>
        <w:pStyle w:val="ListParagraph"/>
        <w:numPr>
          <w:ilvl w:val="0"/>
          <w:numId w:val="5"/>
        </w:numPr>
        <w:bidi/>
        <w:spacing w:after="70" w:line="310"/>
        <w:jc w:val="both"/>
      </w:pPr>
      <w:r>
        <w:rPr>
          <w:rFonts w:ascii="Tahoma" w:cs="Tahoma" w:eastAsia="Tahoma" w:hAnsi="Tahoma"/>
          <w:sz w:val="21"/>
          <w:szCs w:val="21"/>
          <w:rtl/>
        </w:rPr>
        <w:t xml:space="preserve">به‌روزرسانی روش‌های اجرایی، دستورالعمل‌ها، چک‌لیست‌ها و فرم‌ها طبق روش کنترل مستندات.</w:t>
      </w:r>
    </w:p>
    <w:p>
      <w:pPr>
        <w:pStyle w:val="ListParagraph"/>
        <w:numPr>
          <w:ilvl w:val="0"/>
          <w:numId w:val="5"/>
        </w:numPr>
        <w:bidi/>
        <w:spacing w:after="70" w:line="310"/>
        <w:jc w:val="both"/>
      </w:pPr>
      <w:r>
        <w:rPr>
          <w:rFonts w:ascii="Tahoma" w:cs="Tahoma" w:eastAsia="Tahoma" w:hAnsi="Tahoma"/>
          <w:sz w:val="21"/>
          <w:szCs w:val="21"/>
          <w:rtl/>
        </w:rPr>
        <w:t xml:space="preserve">آموزش افراد مرتبط و ثبت سوابق آموزش.</w:t>
      </w:r>
    </w:p>
    <w:p>
      <w:pPr>
        <w:pStyle w:val="ListParagraph"/>
        <w:numPr>
          <w:ilvl w:val="0"/>
          <w:numId w:val="5"/>
        </w:numPr>
        <w:bidi/>
        <w:spacing w:after="70" w:line="310"/>
        <w:jc w:val="both"/>
      </w:pPr>
      <w:r>
        <w:rPr>
          <w:rFonts w:ascii="Tahoma" w:cs="Tahoma" w:eastAsia="Tahoma" w:hAnsi="Tahoma"/>
          <w:sz w:val="21"/>
          <w:szCs w:val="21"/>
          <w:rtl/>
        </w:rPr>
        <w:t xml:space="preserve">به‌روزرسانی ثبت ریسک و فرصت در صورت نیاز.</w:t>
      </w:r>
    </w:p>
    <w:p>
      <w:pPr>
        <w:pStyle w:val="ListParagraph"/>
        <w:numPr>
          <w:ilvl w:val="0"/>
          <w:numId w:val="5"/>
        </w:numPr>
        <w:bidi/>
        <w:spacing w:after="70" w:line="310"/>
        <w:jc w:val="both"/>
      </w:pPr>
      <w:r>
        <w:rPr>
          <w:rFonts w:ascii="Tahoma" w:cs="Tahoma" w:eastAsia="Tahoma" w:hAnsi="Tahoma"/>
          <w:sz w:val="21"/>
          <w:szCs w:val="21"/>
          <w:rtl/>
        </w:rPr>
        <w:t xml:space="preserve">انتقال تجربه (Lessons Learned) به سایر واحدها و ثبت در «بانک تجربیات».</w:t>
      </w:r>
    </w:p>
    <w:p>
      <w:pPr>
        <w:pStyle w:val="ListParagraph"/>
        <w:numPr>
          <w:ilvl w:val="0"/>
          <w:numId w:val="5"/>
        </w:numPr>
        <w:bidi/>
        <w:spacing w:after="70" w:line="310"/>
        <w:jc w:val="both"/>
      </w:pPr>
      <w:r>
        <w:rPr>
          <w:rFonts w:ascii="Tahoma" w:cs="Tahoma" w:eastAsia="Tahoma" w:hAnsi="Tahoma"/>
          <w:sz w:val="21"/>
          <w:szCs w:val="21"/>
          <w:rtl/>
        </w:rPr>
        <w:t xml:space="preserve">بستن پرونده توسط QMR در ثبت‌نام بهبود و اطلاع به ارائه‌دهنده درخواست.</w:t>
      </w:r>
    </w:p>
    <w:p>
      <w:pPr>
        <w:keepNext/>
        <w:bidi/>
        <w:spacing w:after="100" w:before="220"/>
        <w:jc w:val="right"/>
      </w:pPr>
      <w:r>
        <w:rPr>
          <w:rFonts w:ascii="Tahoma" w:cs="Tahoma" w:eastAsia="Tahoma" w:hAnsi="Tahoma"/>
          <w:b/>
          <w:bCs/>
          <w:color w:val="3A3340"/>
          <w:sz w:val="23"/>
          <w:szCs w:val="23"/>
          <w:rtl/>
        </w:rPr>
        <w:t xml:space="preserve">◂ ۶-۹. نظام پیشنهادها و تشویق</w:t>
      </w:r>
    </w:p>
    <w:p>
      <w:pPr>
        <w:pStyle w:val="ListParagraph"/>
        <w:numPr>
          <w:ilvl w:val="0"/>
          <w:numId w:val="2"/>
        </w:numPr>
        <w:bidi/>
        <w:spacing w:after="70" w:line="310"/>
        <w:jc w:val="both"/>
      </w:pPr>
      <w:r>
        <w:rPr>
          <w:rFonts w:ascii="Tahoma" w:cs="Tahoma" w:eastAsia="Tahoma" w:hAnsi="Tahoma"/>
          <w:sz w:val="21"/>
          <w:szCs w:val="21"/>
          <w:rtl/>
        </w:rPr>
        <w:t xml:space="preserve">صندوق پیشنهاد (فیزیکی یا گروه پیام‌رسان داخلی) در دسترس همه کارکنان است.</w:t>
      </w:r>
    </w:p>
    <w:p>
      <w:pPr>
        <w:pStyle w:val="ListParagraph"/>
        <w:numPr>
          <w:ilvl w:val="0"/>
          <w:numId w:val="2"/>
        </w:numPr>
        <w:bidi/>
        <w:spacing w:after="70" w:line="310"/>
        <w:jc w:val="both"/>
      </w:pPr>
      <w:r>
        <w:rPr>
          <w:rFonts w:ascii="Tahoma" w:cs="Tahoma" w:eastAsia="Tahoma" w:hAnsi="Tahoma"/>
          <w:sz w:val="21"/>
          <w:szCs w:val="21"/>
          <w:rtl/>
        </w:rPr>
        <w:t xml:space="preserve">پاسخ اولیه به هر پیشنهاد حداکثر ظرفیت </w:t>
      </w:r>
      <w:r>
        <w:rPr>
          <w:rFonts w:ascii="Tahoma" w:cs="Tahoma" w:eastAsia="Tahoma" w:hAnsi="Tahoma"/>
          <w:b/>
          <w:bCs/>
          <w:sz w:val="21"/>
          <w:szCs w:val="21"/>
          <w:rtl/>
        </w:rPr>
        <w:t xml:space="preserve">۱۰ روز کاری</w:t>
      </w:r>
      <w:r>
        <w:rPr>
          <w:rFonts w:ascii="Tahoma" w:cs="Tahoma" w:eastAsia="Tahoma" w:hAnsi="Tahoma"/>
          <w:sz w:val="21"/>
          <w:szCs w:val="21"/>
          <w:rtl/>
        </w:rPr>
        <w:t xml:space="preserve"> داده می‌شود.</w:t>
      </w:r>
    </w:p>
    <w:p>
      <w:pPr>
        <w:pStyle w:val="ListParagraph"/>
        <w:numPr>
          <w:ilvl w:val="0"/>
          <w:numId w:val="2"/>
        </w:numPr>
        <w:bidi/>
        <w:spacing w:after="70" w:line="310"/>
        <w:jc w:val="both"/>
      </w:pPr>
      <w:r>
        <w:rPr>
          <w:rFonts w:ascii="Tahoma" w:cs="Tahoma" w:eastAsia="Tahoma" w:hAnsi="Tahoma"/>
          <w:sz w:val="21"/>
          <w:szCs w:val="21"/>
          <w:rtl/>
        </w:rPr>
        <w:t xml:space="preserve">پیشنهادهای اجراشده بر اساس صرفه‌جویی یا اثر، مشمول تشویق نقدی یا غیرنقدی طبق آیین‌نامه مصوب مدیرعامل هستند. پیشنهاد برتر هر فصل در جلسه عمومی معرفی می‌شود.</w:t>
      </w:r>
    </w:p>
    <w:p>
      <w:pPr>
        <w:pStyle w:val="ListParagraph"/>
        <w:numPr>
          <w:ilvl w:val="0"/>
          <w:numId w:val="2"/>
        </w:numPr>
        <w:bidi/>
        <w:spacing w:after="70" w:line="310"/>
        <w:jc w:val="both"/>
      </w:pPr>
      <w:r>
        <w:rPr>
          <w:rFonts w:ascii="Tahoma" w:cs="Tahoma" w:eastAsia="Tahoma" w:hAnsi="Tahoma"/>
          <w:sz w:val="21"/>
          <w:szCs w:val="21"/>
          <w:rtl/>
        </w:rPr>
        <w:t xml:space="preserve">پیشنهادهای تکراری یا ردشده با توضیح دلیل پاسخ داده می‌شوند تا انگیزه مشارکت حفظ شود.</w:t>
      </w:r>
    </w:p>
    <w:p>
      <w:pPr>
        <w:keepNext/>
        <w:bidi/>
        <w:spacing w:after="100" w:before="220"/>
        <w:jc w:val="right"/>
      </w:pPr>
      <w:r>
        <w:rPr>
          <w:rFonts w:ascii="Tahoma" w:cs="Tahoma" w:eastAsia="Tahoma" w:hAnsi="Tahoma"/>
          <w:b/>
          <w:bCs/>
          <w:color w:val="3A3340"/>
          <w:sz w:val="23"/>
          <w:szCs w:val="23"/>
          <w:rtl/>
        </w:rPr>
        <w:t xml:space="preserve">◂ ۶-۱۰. کمیته بهبود و گزارش‌دهی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88"/>
        <w:gridCol w:w="6838"/>
      </w:tblGrid>
      <w:tr>
        <w:trPr>
          <w:cantSplit/>
          <w:tblHeader/>
        </w:trPr>
        <w:tc>
          <w:tcPr>
            <w:tcW w:type="dxa" w:w="2188"/>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موضوع</w:t>
            </w:r>
          </w:p>
        </w:tc>
        <w:tc>
          <w:tcPr>
            <w:tcW w:type="dxa" w:w="6838"/>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شرح</w:t>
            </w:r>
          </w:p>
        </w:tc>
      </w:tr>
      <w:tr>
        <w:trPr>
          <w:cantSplit/>
          <w:tblHeader w:val="false"/>
        </w:trPr>
        <w:tc>
          <w:tcPr>
            <w:tcW w:type="dxa" w:w="2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اعضا</w:t>
            </w:r>
          </w:p>
        </w:tc>
        <w:tc>
          <w:tcPr>
            <w:tcW w:type="dxa" w:w="683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مدیرعامل یا نماینده (رئیس)، QMR (دبیر)، مدیران بازرگانی، فروش، مالی و کیفیت؛ حسب مورد مدیر R&amp;D.</w:t>
            </w:r>
          </w:p>
        </w:tc>
      </w:tr>
      <w:tr>
        <w:trPr>
          <w:cantSplit/>
          <w:tblHeader w:val="false"/>
        </w:trPr>
        <w:tc>
          <w:tcPr>
            <w:tcW w:type="dxa" w:w="2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زمان جلسه</w:t>
            </w:r>
          </w:p>
        </w:tc>
        <w:tc>
          <w:tcPr>
            <w:tcW w:type="dxa" w:w="683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ماهانه؛ جلسه فوق‌العاده برای موارد بحرانی.</w:t>
            </w:r>
          </w:p>
        </w:tc>
      </w:tr>
      <w:tr>
        <w:trPr>
          <w:cantSplit/>
          <w:tblHeader w:val="false"/>
        </w:trPr>
        <w:tc>
          <w:tcPr>
            <w:tcW w:type="dxa" w:w="2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دستور جلسه</w:t>
            </w:r>
          </w:p>
        </w:tc>
        <w:tc>
          <w:tcPr>
            <w:tcW w:type="dxa" w:w="683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 وضعیت ثبت‌نام بهبود و موارد معوق، ۲) درخواست‌های جدید و اولویت‌بندی، ۳) نتایج ارزیابی اثربخشی، ۴) روند شاخص‌ها، ۵) پیشنهادهای برتر.</w:t>
            </w:r>
          </w:p>
        </w:tc>
      </w:tr>
      <w:tr>
        <w:trPr>
          <w:cantSplit/>
          <w:tblHeader w:val="false"/>
        </w:trPr>
        <w:tc>
          <w:tcPr>
            <w:tcW w:type="dxa" w:w="218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خروجی</w:t>
            </w:r>
          </w:p>
        </w:tc>
        <w:tc>
          <w:tcPr>
            <w:tcW w:type="dxa" w:w="6838"/>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صورتجلسه با مصوبات، مالک و مهلت؛ ثبت در ثبت‌نام بهبود.</w:t>
            </w:r>
          </w:p>
        </w:tc>
      </w:tr>
      <w:tr>
        <w:trPr>
          <w:cantSplit/>
          <w:tblHeader w:val="false"/>
        </w:trPr>
        <w:tc>
          <w:tcPr>
            <w:tcW w:type="dxa" w:w="218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گزارش به بازنگری مدیریت</w:t>
            </w:r>
          </w:p>
        </w:tc>
        <w:tc>
          <w:tcPr>
            <w:tcW w:type="dxa" w:w="6838"/>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خلاصه سالانه: تعداد و وضعیت اقدامات، اثربخشی، صرفه‌جویی، شاخص‌ها و فرصت‌های سال آینده.</w:t>
            </w:r>
          </w:p>
        </w:tc>
      </w:tr>
    </w:tbl>
    <w:p>
      <w:pPr>
        <w:keepNext/>
        <w:bidi/>
        <w:spacing w:after="100" w:before="220"/>
        <w:jc w:val="right"/>
      </w:pPr>
      <w:r>
        <w:rPr>
          <w:rFonts w:ascii="Tahoma" w:cs="Tahoma" w:eastAsia="Tahoma" w:hAnsi="Tahoma"/>
          <w:b/>
          <w:bCs/>
          <w:color w:val="3A3340"/>
          <w:sz w:val="23"/>
          <w:szCs w:val="23"/>
          <w:rtl/>
        </w:rPr>
        <w:t xml:space="preserve">◂ ۶-۱۱. برنامه سالانه بهبود</w:t>
      </w:r>
    </w:p>
    <w:p>
      <w:pPr>
        <w:bidi/>
        <w:spacing w:after="120" w:line="330"/>
        <w:jc w:val="both"/>
      </w:pPr>
      <w:r>
        <w:rPr>
          <w:rFonts w:ascii="Tahoma" w:cs="Tahoma" w:eastAsia="Tahoma" w:hAnsi="Tahoma"/>
          <w:sz w:val="21"/>
          <w:szCs w:val="21"/>
          <w:rtl/>
        </w:rPr>
        <w:t xml:space="preserve">در بازنگری مدیریت سالانه، با توجه به اهداف کیفیت، نتایج شاخص‌ها، ریسک‌ها و گزارش تحقیق و توسعه، دست‌کم </w:t>
      </w:r>
      <w:r>
        <w:rPr>
          <w:rFonts w:ascii="Tahoma" w:cs="Tahoma" w:eastAsia="Tahoma" w:hAnsi="Tahoma"/>
          <w:b/>
          <w:bCs/>
          <w:sz w:val="21"/>
          <w:szCs w:val="21"/>
          <w:rtl/>
        </w:rPr>
        <w:t xml:space="preserve">۳ پروژه بهبود سازمانی</w:t>
      </w:r>
      <w:r>
        <w:rPr>
          <w:rFonts w:ascii="Tahoma" w:cs="Tahoma" w:eastAsia="Tahoma" w:hAnsi="Tahoma"/>
          <w:sz w:val="21"/>
          <w:szCs w:val="21"/>
          <w:rtl/>
        </w:rPr>
        <w:t xml:space="preserve"> با مالک، هدف کمی و بودجه تعریف و در ثبت‌نام بهبود ثبت می‌شود. نمونه پروژه‌های پیشنهادی برای سال ۱۴۰۵–۱۴۰۶:</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3"/>
        <w:gridCol w:w="3009"/>
        <w:gridCol w:w="1914"/>
      </w:tblGrid>
      <w:tr>
        <w:trPr>
          <w:cantSplit/>
          <w:tblHeader/>
        </w:trPr>
        <w:tc>
          <w:tcPr>
            <w:tcW w:type="dxa" w:w="4103"/>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پروژه</w:t>
            </w:r>
          </w:p>
        </w:tc>
        <w:tc>
          <w:tcPr>
            <w:tcW w:type="dxa" w:w="3009"/>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شاخص</w:t>
            </w:r>
          </w:p>
        </w:tc>
        <w:tc>
          <w:tcPr>
            <w:tcW w:type="dxa" w:w="1914"/>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هدف پیشنهادی</w:t>
            </w:r>
          </w:p>
        </w:tc>
      </w:tr>
      <w:tr>
        <w:trPr>
          <w:cantSplit/>
          <w:tblHeader w:val="false"/>
        </w:trPr>
        <w:tc>
          <w:tcPr>
            <w:tcW w:type="dxa" w:w="410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کاهش زمان چرخه واردات (سفارش تا انبار)</w:t>
            </w:r>
          </w:p>
        </w:tc>
        <w:tc>
          <w:tcPr>
            <w:tcW w:type="dxa" w:w="300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میانگین روز</w:t>
            </w:r>
          </w:p>
        </w:tc>
        <w:tc>
          <w:tcPr>
            <w:tcW w:type="dxa" w:w="1914"/>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کاهش ۲۰٪</w:t>
            </w:r>
          </w:p>
        </w:tc>
      </w:tr>
      <w:tr>
        <w:trPr>
          <w:cantSplit/>
          <w:tblHeader w:val="false"/>
        </w:trPr>
        <w:tc>
          <w:tcPr>
            <w:tcW w:type="dxa" w:w="410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کاهش شکایات کیفی مشتریان</w:t>
            </w:r>
          </w:p>
        </w:tc>
        <w:tc>
          <w:tcPr>
            <w:tcW w:type="dxa" w:w="300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تعداد شکایت در هر ۱۰۰ تن فروش</w:t>
            </w:r>
          </w:p>
        </w:tc>
        <w:tc>
          <w:tcPr>
            <w:tcW w:type="dxa" w:w="1914"/>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کاهش ۵۰٪</w:t>
            </w:r>
          </w:p>
        </w:tc>
      </w:tr>
      <w:tr>
        <w:trPr>
          <w:cantSplit/>
          <w:tblHeader w:val="false"/>
        </w:trPr>
        <w:tc>
          <w:tcPr>
            <w:tcW w:type="dxa" w:w="410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بهبود ارزیابی تأمین‌کنندگان</w:t>
            </w:r>
          </w:p>
        </w:tc>
        <w:tc>
          <w:tcPr>
            <w:tcW w:type="dxa" w:w="300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درصد تأمین‌کنندگان با امتیاز ≥ ۷۵</w:t>
            </w:r>
          </w:p>
        </w:tc>
        <w:tc>
          <w:tcPr>
            <w:tcW w:type="dxa" w:w="1914"/>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۸۰٪</w:t>
            </w:r>
          </w:p>
        </w:tc>
      </w:tr>
      <w:tr>
        <w:trPr>
          <w:cantSplit/>
          <w:tblHeader w:val="false"/>
        </w:trPr>
        <w:tc>
          <w:tcPr>
            <w:tcW w:type="dxa" w:w="410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دیجیتال‌سازی پرونده بازرگانی</w:t>
            </w:r>
          </w:p>
        </w:tc>
        <w:tc>
          <w:tcPr>
            <w:tcW w:type="dxa" w:w="300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درصد پرونده‌های کامل الکترونیکی</w:t>
            </w:r>
          </w:p>
        </w:tc>
        <w:tc>
          <w:tcPr>
            <w:tcW w:type="dxa" w:w="1914"/>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۱۰۰٪</w:t>
            </w:r>
          </w:p>
        </w:tc>
      </w:tr>
    </w:tbl>
    <w:p>
      <w:r>
        <w:br w:type="page"/>
      </w:r>
    </w:p>
    <w:p>
      <w:pPr>
        <w:keepNext/>
        <w:spacing w:after="0" w:before="0" w:line="300" w:lineRule="exact"/>
      </w:pPr>
    </w:p>
    <w:p>
      <w:pPr>
        <w:keepNext/>
        <w:bidi/>
        <w:spacing w:after="200" w:before="0" w:line="465" w:lineRule="exact"/>
        <w:ind w:right="160"/>
        <w:jc w:val="right"/>
      </w:pPr>
      <w:r>
        <w:drawing>
          <wp:anchor distT="0" distB="0" distL="0" distR="0" simplePos="0" allowOverlap="1" behindDoc="1" locked="0" layoutInCell="1" relativeHeight="295275">
            <wp:simplePos x="0" y="0"/>
            <wp:positionH relativeFrom="margin">
              <wp:posOffset>0</wp:posOffset>
            </wp:positionH>
            <wp:positionV relativeFrom="paragraph">
              <wp:posOffset>0</wp:posOffset>
            </wp:positionV>
            <wp:extent cx="5734050" cy="2952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95275"/>
                    </a:xfrm>
                    <a:prstGeom prst="rect">
                      <a:avLst/>
                    </a:prstGeom>
                  </pic:spPr>
                </pic:pic>
              </a:graphicData>
            </a:graphic>
          </wp:anchor>
        </w:drawing>
      </w:r>
      <w:r>
        <w:rPr>
          <w:rFonts w:ascii="Tahoma" w:cs="Tahoma" w:eastAsia="Tahoma" w:hAnsi="Tahoma"/>
          <w:b/>
          <w:bCs/>
          <w:color w:val="1E1B20"/>
          <w:sz w:val="26"/>
          <w:szCs w:val="26"/>
          <w:rtl/>
        </w:rPr>
        <w:t xml:space="preserve">۷. نمودار گردش کار</w:t>
      </w:r>
    </w:p>
    <w:p>
      <w:pPr>
        <w:keepNext/>
        <w:keepLines/>
        <w:pBdr>
          <w:top w:val="single" w:color="2E2A30" w:sz="8" w:space="4"/>
          <w:bottom w:val="single" w:color="2E2A30" w:sz="8" w:space="4"/>
          <w:left w:val="single" w:color="2E2A30" w:sz="8" w:space="4"/>
          <w:right w:val="single" w:color="2E2A30" w:sz="8" w:space="4"/>
        </w:pBdr>
        <w:shd w:fill="F1EFF4" w:color="auto" w:val="clear"/>
        <w:bidi/>
        <w:spacing w:after="0" w:before="0"/>
        <w:ind w:left="1500" w:right="1500"/>
        <w:jc w:val="center"/>
      </w:pPr>
      <w:r>
        <w:rPr>
          <w:rFonts w:ascii="Tahoma" w:cs="Tahoma" w:eastAsia="Tahoma" w:hAnsi="Tahoma"/>
          <w:b/>
          <w:bCs/>
          <w:sz w:val="19"/>
          <w:szCs w:val="19"/>
          <w:rtl/>
        </w:rPr>
        <w:t xml:space="preserve">۱. شناسایی مشکل یا فرصت بهبود</w:t>
      </w:r>
      <w:r>
        <w:rPr>
          <w:rFonts w:ascii="Tahoma" w:cs="Tahoma" w:eastAsia="Tahoma" w:hAnsi="Tahoma"/>
          <w:color w:val="6B6B6B"/>
          <w:sz w:val="17"/>
          <w:szCs w:val="17"/>
          <w:rtl/>
        </w:rPr>
        <w:t xml:space="preserve">   (همه کارکنان / واحدها)</w:t>
      </w:r>
    </w:p>
    <w:p>
      <w:pPr>
        <w:keepNext/>
        <w:bidi/>
        <w:spacing w:after="0" w:before="0"/>
        <w:jc w:val="center"/>
      </w:pPr>
      <w:r>
        <w:rPr>
          <w:rFonts w:ascii="Tahoma" w:cs="Tahoma" w:eastAsia="Tahoma" w:hAnsi="Tahoma"/>
          <w:b/>
          <w:bCs/>
          <w:color w:val="6A5A7A"/>
          <w:sz w:val="22"/>
          <w:szCs w:val="22"/>
          <w:rtl/>
        </w:rPr>
        <w:t xml:space="preserve">↓</w:t>
      </w:r>
    </w:p>
    <w:p>
      <w:pPr>
        <w:keepNext/>
        <w:keepLines/>
        <w:pBdr>
          <w:top w:val="single" w:color="2E2A30" w:sz="8" w:space="4"/>
          <w:bottom w:val="single" w:color="2E2A30" w:sz="8" w:space="4"/>
          <w:left w:val="single" w:color="2E2A30" w:sz="8" w:space="4"/>
          <w:right w:val="single" w:color="2E2A30" w:sz="8" w:space="4"/>
        </w:pBdr>
        <w:shd w:fill="F1EFF4" w:color="auto" w:val="clear"/>
        <w:bidi/>
        <w:spacing w:after="0" w:before="0"/>
        <w:ind w:left="1500" w:right="1500"/>
        <w:jc w:val="center"/>
      </w:pPr>
      <w:r>
        <w:rPr>
          <w:rFonts w:ascii="Tahoma" w:cs="Tahoma" w:eastAsia="Tahoma" w:hAnsi="Tahoma"/>
          <w:b/>
          <w:bCs/>
          <w:sz w:val="19"/>
          <w:szCs w:val="19"/>
          <w:rtl/>
        </w:rPr>
        <w:t xml:space="preserve">۲. ثبت در F-۱۰-۰۱ یا F-۱۰-۰۲ و کدگذاری در F-۱۰-۰۴</w:t>
      </w:r>
      <w:r>
        <w:rPr>
          <w:rFonts w:ascii="Tahoma" w:cs="Tahoma" w:eastAsia="Tahoma" w:hAnsi="Tahoma"/>
          <w:color w:val="6B6B6B"/>
          <w:sz w:val="17"/>
          <w:szCs w:val="17"/>
          <w:rtl/>
        </w:rPr>
        <w:t xml:space="preserve">   (QMR)</w:t>
      </w:r>
    </w:p>
    <w:p>
      <w:pPr>
        <w:keepNext/>
        <w:bidi/>
        <w:spacing w:after="0" w:before="0"/>
        <w:jc w:val="center"/>
      </w:pPr>
      <w:r>
        <w:rPr>
          <w:rFonts w:ascii="Tahoma" w:cs="Tahoma" w:eastAsia="Tahoma" w:hAnsi="Tahoma"/>
          <w:b/>
          <w:bCs/>
          <w:color w:val="6A5A7A"/>
          <w:sz w:val="22"/>
          <w:szCs w:val="22"/>
          <w:rtl/>
        </w:rPr>
        <w:t xml:space="preserve">↓</w:t>
      </w:r>
    </w:p>
    <w:p>
      <w:pPr>
        <w:keepNext/>
        <w:keepLines/>
        <w:pBdr>
          <w:top w:val="single" w:color="D9A441" w:sz="8" w:space="4"/>
          <w:bottom w:val="single" w:color="D9A441" w:sz="8" w:space="4"/>
          <w:left w:val="single" w:color="D9A441" w:sz="8" w:space="4"/>
          <w:right w:val="single" w:color="D9A441" w:sz="8" w:space="4"/>
        </w:pBdr>
        <w:shd w:fill="FFF3D6" w:color="auto" w:val="clear"/>
        <w:bidi/>
        <w:spacing w:after="0" w:before="0"/>
        <w:ind w:left="1500" w:right="1500"/>
        <w:jc w:val="center"/>
      </w:pPr>
      <w:r>
        <w:rPr>
          <w:rFonts w:ascii="Tahoma" w:cs="Tahoma" w:eastAsia="Tahoma" w:hAnsi="Tahoma"/>
          <w:b/>
          <w:bCs/>
          <w:sz w:val="19"/>
          <w:szCs w:val="19"/>
          <w:rtl/>
        </w:rPr>
        <w:t xml:space="preserve">◆ عدم انطباق است؟</w:t>
      </w:r>
      <w:r>
        <w:rPr>
          <w:rFonts w:ascii="Tahoma" w:cs="Tahoma" w:eastAsia="Tahoma" w:hAnsi="Tahoma"/>
          <w:color w:val="6B6B6B"/>
          <w:sz w:val="17"/>
          <w:szCs w:val="17"/>
          <w:rtl/>
        </w:rPr>
        <w:t xml:space="preserve">   (QMR / کیفیت)</w:t>
      </w:r>
    </w:p>
    <w:p>
      <w:pPr>
        <w:keepNext/>
        <w:bidi/>
        <w:spacing w:after="0" w:before="0"/>
        <w:jc w:val="center"/>
      </w:pPr>
      <w:r>
        <w:rPr>
          <w:rFonts w:ascii="Tahoma" w:cs="Tahoma" w:eastAsia="Tahoma" w:hAnsi="Tahoma"/>
          <w:b/>
          <w:bCs/>
          <w:color w:val="6A5A7A"/>
          <w:sz w:val="22"/>
          <w:szCs w:val="22"/>
          <w:rtl/>
        </w:rPr>
        <w:t xml:space="preserve">↓  بله: اصلاح فوری و ثبت آن — خیر: ادامه</w:t>
      </w:r>
    </w:p>
    <w:p>
      <w:pPr>
        <w:keepNext/>
        <w:keepLines/>
        <w:pBdr>
          <w:top w:val="single" w:color="2E2A30" w:sz="8" w:space="4"/>
          <w:bottom w:val="single" w:color="2E2A30" w:sz="8" w:space="4"/>
          <w:left w:val="single" w:color="2E2A30" w:sz="8" w:space="4"/>
          <w:right w:val="single" w:color="2E2A30" w:sz="8" w:space="4"/>
        </w:pBdr>
        <w:shd w:fill="F1EFF4" w:color="auto" w:val="clear"/>
        <w:bidi/>
        <w:spacing w:after="0" w:before="0"/>
        <w:ind w:left="1500" w:right="1500"/>
        <w:jc w:val="center"/>
      </w:pPr>
      <w:r>
        <w:rPr>
          <w:rFonts w:ascii="Tahoma" w:cs="Tahoma" w:eastAsia="Tahoma" w:hAnsi="Tahoma"/>
          <w:b/>
          <w:bCs/>
          <w:sz w:val="19"/>
          <w:szCs w:val="19"/>
          <w:rtl/>
        </w:rPr>
        <w:t xml:space="preserve">۳. ارزیابی و اولویت‌بندی (اثر × فوریت × سهولت)</w:t>
      </w:r>
      <w:r>
        <w:rPr>
          <w:rFonts w:ascii="Tahoma" w:cs="Tahoma" w:eastAsia="Tahoma" w:hAnsi="Tahoma"/>
          <w:color w:val="6B6B6B"/>
          <w:sz w:val="17"/>
          <w:szCs w:val="17"/>
          <w:rtl/>
        </w:rPr>
        <w:t xml:space="preserve">   (QMR + مدیر واحد)</w:t>
      </w:r>
    </w:p>
    <w:p>
      <w:pPr>
        <w:keepNext/>
        <w:bidi/>
        <w:spacing w:after="0" w:before="0"/>
        <w:jc w:val="center"/>
      </w:pPr>
      <w:r>
        <w:rPr>
          <w:rFonts w:ascii="Tahoma" w:cs="Tahoma" w:eastAsia="Tahoma" w:hAnsi="Tahoma"/>
          <w:b/>
          <w:bCs/>
          <w:color w:val="6A5A7A"/>
          <w:sz w:val="22"/>
          <w:szCs w:val="22"/>
          <w:rtl/>
        </w:rPr>
        <w:t xml:space="preserve">↓</w:t>
      </w:r>
    </w:p>
    <w:p>
      <w:pPr>
        <w:keepNext/>
        <w:keepLines/>
        <w:pBdr>
          <w:top w:val="single" w:color="D9A441" w:sz="8" w:space="4"/>
          <w:bottom w:val="single" w:color="D9A441" w:sz="8" w:space="4"/>
          <w:left w:val="single" w:color="D9A441" w:sz="8" w:space="4"/>
          <w:right w:val="single" w:color="D9A441" w:sz="8" w:space="4"/>
        </w:pBdr>
        <w:shd w:fill="FFF3D6" w:color="auto" w:val="clear"/>
        <w:bidi/>
        <w:spacing w:after="0" w:before="0"/>
        <w:ind w:left="1500" w:right="1500"/>
        <w:jc w:val="center"/>
      </w:pPr>
      <w:r>
        <w:rPr>
          <w:rFonts w:ascii="Tahoma" w:cs="Tahoma" w:eastAsia="Tahoma" w:hAnsi="Tahoma"/>
          <w:b/>
          <w:bCs/>
          <w:sz w:val="19"/>
          <w:szCs w:val="19"/>
          <w:rtl/>
        </w:rPr>
        <w:t xml:space="preserve">◆ پذیرفته شد؟</w:t>
      </w:r>
      <w:r>
        <w:rPr>
          <w:rFonts w:ascii="Tahoma" w:cs="Tahoma" w:eastAsia="Tahoma" w:hAnsi="Tahoma"/>
          <w:color w:val="6B6B6B"/>
          <w:sz w:val="17"/>
          <w:szCs w:val="17"/>
          <w:rtl/>
        </w:rPr>
        <w:t xml:space="preserve">   (کمیته بهبود)</w:t>
      </w:r>
    </w:p>
    <w:p>
      <w:pPr>
        <w:keepNext/>
        <w:bidi/>
        <w:spacing w:after="0" w:before="0"/>
        <w:jc w:val="center"/>
      </w:pPr>
      <w:r>
        <w:rPr>
          <w:rFonts w:ascii="Tahoma" w:cs="Tahoma" w:eastAsia="Tahoma" w:hAnsi="Tahoma"/>
          <w:b/>
          <w:bCs/>
          <w:color w:val="6A5A7A"/>
          <w:sz w:val="22"/>
          <w:szCs w:val="22"/>
          <w:rtl/>
        </w:rPr>
        <w:t xml:space="preserve">↓  خیر: بستن با ذکر دلیل و اعلام نتیجه — بله: ادامه</w:t>
      </w:r>
    </w:p>
    <w:p>
      <w:pPr>
        <w:keepNext/>
        <w:keepLines/>
        <w:pBdr>
          <w:top w:val="single" w:color="2E2A30" w:sz="8" w:space="4"/>
          <w:bottom w:val="single" w:color="2E2A30" w:sz="8" w:space="4"/>
          <w:left w:val="single" w:color="2E2A30" w:sz="8" w:space="4"/>
          <w:right w:val="single" w:color="2E2A30" w:sz="8" w:space="4"/>
        </w:pBdr>
        <w:shd w:fill="F1EFF4" w:color="auto" w:val="clear"/>
        <w:bidi/>
        <w:spacing w:after="0" w:before="0"/>
        <w:ind w:left="1500" w:right="1500"/>
        <w:jc w:val="center"/>
      </w:pPr>
      <w:r>
        <w:rPr>
          <w:rFonts w:ascii="Tahoma" w:cs="Tahoma" w:eastAsia="Tahoma" w:hAnsi="Tahoma"/>
          <w:b/>
          <w:bCs/>
          <w:sz w:val="19"/>
          <w:szCs w:val="19"/>
          <w:rtl/>
        </w:rPr>
        <w:t xml:space="preserve">۴. تحلیل علت ریشه‌ای و بررسی موارد مشابه</w:t>
      </w:r>
      <w:r>
        <w:rPr>
          <w:rFonts w:ascii="Tahoma" w:cs="Tahoma" w:eastAsia="Tahoma" w:hAnsi="Tahoma"/>
          <w:color w:val="6B6B6B"/>
          <w:sz w:val="17"/>
          <w:szCs w:val="17"/>
          <w:rtl/>
        </w:rPr>
        <w:t xml:space="preserve">   (مدیر واحد + تیم)</w:t>
      </w:r>
    </w:p>
    <w:p>
      <w:pPr>
        <w:keepNext/>
        <w:bidi/>
        <w:spacing w:after="0" w:before="0"/>
        <w:jc w:val="center"/>
      </w:pPr>
      <w:r>
        <w:rPr>
          <w:rFonts w:ascii="Tahoma" w:cs="Tahoma" w:eastAsia="Tahoma" w:hAnsi="Tahoma"/>
          <w:b/>
          <w:bCs/>
          <w:color w:val="6A5A7A"/>
          <w:sz w:val="22"/>
          <w:szCs w:val="22"/>
          <w:rtl/>
        </w:rPr>
        <w:t xml:space="preserve">↓</w:t>
      </w:r>
    </w:p>
    <w:p>
      <w:pPr>
        <w:keepNext/>
        <w:keepLines/>
        <w:pBdr>
          <w:top w:val="single" w:color="2E2A30" w:sz="8" w:space="4"/>
          <w:bottom w:val="single" w:color="2E2A30" w:sz="8" w:space="4"/>
          <w:left w:val="single" w:color="2E2A30" w:sz="8" w:space="4"/>
          <w:right w:val="single" w:color="2E2A30" w:sz="8" w:space="4"/>
        </w:pBdr>
        <w:shd w:fill="F1EFF4" w:color="auto" w:val="clear"/>
        <w:bidi/>
        <w:spacing w:after="0" w:before="0"/>
        <w:ind w:left="1500" w:right="1500"/>
        <w:jc w:val="center"/>
      </w:pPr>
      <w:r>
        <w:rPr>
          <w:rFonts w:ascii="Tahoma" w:cs="Tahoma" w:eastAsia="Tahoma" w:hAnsi="Tahoma"/>
          <w:b/>
          <w:bCs/>
          <w:sz w:val="19"/>
          <w:szCs w:val="19"/>
          <w:rtl/>
        </w:rPr>
        <w:t xml:space="preserve">۵. برنامه اقدام F-۱۰-۰۳ و تصویب</w:t>
      </w:r>
      <w:r>
        <w:rPr>
          <w:rFonts w:ascii="Tahoma" w:cs="Tahoma" w:eastAsia="Tahoma" w:hAnsi="Tahoma"/>
          <w:color w:val="6B6B6B"/>
          <w:sz w:val="17"/>
          <w:szCs w:val="17"/>
          <w:rtl/>
        </w:rPr>
        <w:t xml:space="preserve">   (مالک اقدام / کمیته)</w:t>
      </w:r>
    </w:p>
    <w:p>
      <w:pPr>
        <w:keepNext/>
        <w:bidi/>
        <w:spacing w:after="0" w:before="0"/>
        <w:jc w:val="center"/>
      </w:pPr>
      <w:r>
        <w:rPr>
          <w:rFonts w:ascii="Tahoma" w:cs="Tahoma" w:eastAsia="Tahoma" w:hAnsi="Tahoma"/>
          <w:b/>
          <w:bCs/>
          <w:color w:val="6A5A7A"/>
          <w:sz w:val="22"/>
          <w:szCs w:val="22"/>
          <w:rtl/>
        </w:rPr>
        <w:t xml:space="preserve">↓</w:t>
      </w:r>
    </w:p>
    <w:p>
      <w:pPr>
        <w:keepNext/>
        <w:keepLines/>
        <w:pBdr>
          <w:top w:val="single" w:color="2E2A30" w:sz="8" w:space="4"/>
          <w:bottom w:val="single" w:color="2E2A30" w:sz="8" w:space="4"/>
          <w:left w:val="single" w:color="2E2A30" w:sz="8" w:space="4"/>
          <w:right w:val="single" w:color="2E2A30" w:sz="8" w:space="4"/>
        </w:pBdr>
        <w:shd w:fill="F1EFF4" w:color="auto" w:val="clear"/>
        <w:bidi/>
        <w:spacing w:after="0" w:before="0"/>
        <w:ind w:left="1500" w:right="1500"/>
        <w:jc w:val="center"/>
      </w:pPr>
      <w:r>
        <w:rPr>
          <w:rFonts w:ascii="Tahoma" w:cs="Tahoma" w:eastAsia="Tahoma" w:hAnsi="Tahoma"/>
          <w:b/>
          <w:bCs/>
          <w:sz w:val="19"/>
          <w:szCs w:val="19"/>
          <w:rtl/>
        </w:rPr>
        <w:t xml:space="preserve">۶. اجرا و ارائه شواهد</w:t>
      </w:r>
      <w:r>
        <w:rPr>
          <w:rFonts w:ascii="Tahoma" w:cs="Tahoma" w:eastAsia="Tahoma" w:hAnsi="Tahoma"/>
          <w:color w:val="6B6B6B"/>
          <w:sz w:val="17"/>
          <w:szCs w:val="17"/>
          <w:rtl/>
        </w:rPr>
        <w:t xml:space="preserve">   (مالک اقدام)</w:t>
      </w:r>
    </w:p>
    <w:p>
      <w:pPr>
        <w:keepNext/>
        <w:bidi/>
        <w:spacing w:after="0" w:before="0"/>
        <w:jc w:val="center"/>
      </w:pPr>
      <w:r>
        <w:rPr>
          <w:rFonts w:ascii="Tahoma" w:cs="Tahoma" w:eastAsia="Tahoma" w:hAnsi="Tahoma"/>
          <w:b/>
          <w:bCs/>
          <w:color w:val="6A5A7A"/>
          <w:sz w:val="22"/>
          <w:szCs w:val="22"/>
          <w:rtl/>
        </w:rPr>
        <w:t xml:space="preserve">↓</w:t>
      </w:r>
    </w:p>
    <w:p>
      <w:pPr>
        <w:keepNext/>
        <w:keepLines/>
        <w:pBdr>
          <w:top w:val="single" w:color="2E2A30" w:sz="8" w:space="4"/>
          <w:bottom w:val="single" w:color="2E2A30" w:sz="8" w:space="4"/>
          <w:left w:val="single" w:color="2E2A30" w:sz="8" w:space="4"/>
          <w:right w:val="single" w:color="2E2A30" w:sz="8" w:space="4"/>
        </w:pBdr>
        <w:shd w:fill="F1EFF4" w:color="auto" w:val="clear"/>
        <w:bidi/>
        <w:spacing w:after="0" w:before="0"/>
        <w:ind w:left="1500" w:right="1500"/>
        <w:jc w:val="center"/>
      </w:pPr>
      <w:r>
        <w:rPr>
          <w:rFonts w:ascii="Tahoma" w:cs="Tahoma" w:eastAsia="Tahoma" w:hAnsi="Tahoma"/>
          <w:b/>
          <w:bCs/>
          <w:sz w:val="19"/>
          <w:szCs w:val="19"/>
          <w:rtl/>
        </w:rPr>
        <w:t xml:space="preserve">۷. پایش و ارزیابی اثربخشی F-۱۰-۰۵</w:t>
      </w:r>
      <w:r>
        <w:rPr>
          <w:rFonts w:ascii="Tahoma" w:cs="Tahoma" w:eastAsia="Tahoma" w:hAnsi="Tahoma"/>
          <w:color w:val="6B6B6B"/>
          <w:sz w:val="17"/>
          <w:szCs w:val="17"/>
          <w:rtl/>
        </w:rPr>
        <w:t xml:space="preserve">   (QMR)</w:t>
      </w:r>
    </w:p>
    <w:p>
      <w:pPr>
        <w:keepNext/>
        <w:bidi/>
        <w:spacing w:after="0" w:before="0"/>
        <w:jc w:val="center"/>
      </w:pPr>
      <w:r>
        <w:rPr>
          <w:rFonts w:ascii="Tahoma" w:cs="Tahoma" w:eastAsia="Tahoma" w:hAnsi="Tahoma"/>
          <w:b/>
          <w:bCs/>
          <w:color w:val="6A5A7A"/>
          <w:sz w:val="22"/>
          <w:szCs w:val="22"/>
          <w:rtl/>
        </w:rPr>
        <w:t xml:space="preserve">↓</w:t>
      </w:r>
    </w:p>
    <w:p>
      <w:pPr>
        <w:keepNext/>
        <w:keepLines/>
        <w:pBdr>
          <w:top w:val="single" w:color="D9A441" w:sz="8" w:space="4"/>
          <w:bottom w:val="single" w:color="D9A441" w:sz="8" w:space="4"/>
          <w:left w:val="single" w:color="D9A441" w:sz="8" w:space="4"/>
          <w:right w:val="single" w:color="D9A441" w:sz="8" w:space="4"/>
        </w:pBdr>
        <w:shd w:fill="FFF3D6" w:color="auto" w:val="clear"/>
        <w:bidi/>
        <w:spacing w:after="0" w:before="0"/>
        <w:ind w:left="1500" w:right="1500"/>
        <w:jc w:val="center"/>
      </w:pPr>
      <w:r>
        <w:rPr>
          <w:rFonts w:ascii="Tahoma" w:cs="Tahoma" w:eastAsia="Tahoma" w:hAnsi="Tahoma"/>
          <w:b/>
          <w:bCs/>
          <w:sz w:val="19"/>
          <w:szCs w:val="19"/>
          <w:rtl/>
        </w:rPr>
        <w:t xml:space="preserve">◆ اثربخش است؟</w:t>
      </w:r>
      <w:r>
        <w:rPr>
          <w:rFonts w:ascii="Tahoma" w:cs="Tahoma" w:eastAsia="Tahoma" w:hAnsi="Tahoma"/>
          <w:color w:val="6B6B6B"/>
          <w:sz w:val="17"/>
          <w:szCs w:val="17"/>
          <w:rtl/>
        </w:rPr>
        <w:t xml:space="preserve">   (QMR)</w:t>
      </w:r>
    </w:p>
    <w:p>
      <w:pPr>
        <w:keepNext/>
        <w:bidi/>
        <w:spacing w:after="0" w:before="0"/>
        <w:jc w:val="center"/>
      </w:pPr>
      <w:r>
        <w:rPr>
          <w:rFonts w:ascii="Tahoma" w:cs="Tahoma" w:eastAsia="Tahoma" w:hAnsi="Tahoma"/>
          <w:b/>
          <w:bCs/>
          <w:color w:val="6A5A7A"/>
          <w:sz w:val="22"/>
          <w:szCs w:val="22"/>
          <w:rtl/>
        </w:rPr>
        <w:t xml:space="preserve">↓  خیر: بازگشت به گام ۴ — بله: ادامه</w:t>
      </w:r>
    </w:p>
    <w:p>
      <w:pPr>
        <w:keepNext/>
        <w:keepLines/>
        <w:pBdr>
          <w:top w:val="single" w:color="2E2A30" w:sz="8" w:space="4"/>
          <w:bottom w:val="single" w:color="2E2A30" w:sz="8" w:space="4"/>
          <w:left w:val="single" w:color="2E2A30" w:sz="8" w:space="4"/>
          <w:right w:val="single" w:color="2E2A30" w:sz="8" w:space="4"/>
        </w:pBdr>
        <w:shd w:fill="F1EFF4" w:color="auto" w:val="clear"/>
        <w:bidi/>
        <w:spacing w:after="0" w:before="0"/>
        <w:ind w:left="1500" w:right="1500"/>
        <w:jc w:val="center"/>
      </w:pPr>
      <w:r>
        <w:rPr>
          <w:rFonts w:ascii="Tahoma" w:cs="Tahoma" w:eastAsia="Tahoma" w:hAnsi="Tahoma"/>
          <w:b/>
          <w:bCs/>
          <w:sz w:val="19"/>
          <w:szCs w:val="19"/>
          <w:rtl/>
        </w:rPr>
        <w:t xml:space="preserve">۸. استانداردسازی، آموزش، انتقال تجربه و بستن پرونده</w:t>
      </w:r>
      <w:r>
        <w:rPr>
          <w:rFonts w:ascii="Tahoma" w:cs="Tahoma" w:eastAsia="Tahoma" w:hAnsi="Tahoma"/>
          <w:color w:val="6B6B6B"/>
          <w:sz w:val="17"/>
          <w:szCs w:val="17"/>
          <w:rtl/>
        </w:rPr>
        <w:t xml:space="preserve">   (مدیر واحد / QMR)</w:t>
      </w:r>
    </w:p>
    <w:p>
      <w:pPr>
        <w:keepNext/>
        <w:bidi/>
        <w:spacing w:after="0" w:before="0"/>
        <w:jc w:val="center"/>
      </w:pPr>
      <w:r>
        <w:rPr>
          <w:rFonts w:ascii="Tahoma" w:cs="Tahoma" w:eastAsia="Tahoma" w:hAnsi="Tahoma"/>
          <w:b/>
          <w:bCs/>
          <w:color w:val="6A5A7A"/>
          <w:sz w:val="22"/>
          <w:szCs w:val="22"/>
          <w:rtl/>
        </w:rPr>
        <w:t xml:space="preserve">↓</w:t>
      </w:r>
    </w:p>
    <w:p>
      <w:pPr>
        <w:keepNext/>
        <w:keepLines/>
        <w:pBdr>
          <w:top w:val="single" w:color="2E2A30" w:sz="8" w:space="4"/>
          <w:bottom w:val="single" w:color="2E2A30" w:sz="8" w:space="4"/>
          <w:left w:val="single" w:color="2E2A30" w:sz="8" w:space="4"/>
          <w:right w:val="single" w:color="2E2A30" w:sz="8" w:space="4"/>
        </w:pBdr>
        <w:shd w:fill="F1EFF4" w:color="auto" w:val="clear"/>
        <w:bidi/>
        <w:spacing w:after="0" w:before="0"/>
        <w:ind w:left="1500" w:right="1500"/>
        <w:jc w:val="center"/>
      </w:pPr>
      <w:r>
        <w:rPr>
          <w:rFonts w:ascii="Tahoma" w:cs="Tahoma" w:eastAsia="Tahoma" w:hAnsi="Tahoma"/>
          <w:b/>
          <w:bCs/>
          <w:sz w:val="19"/>
          <w:szCs w:val="19"/>
          <w:rtl/>
        </w:rPr>
        <w:t xml:space="preserve">۹. گزارش ماهانه به کمیته و سالانه به بازنگری مدیریت</w:t>
      </w:r>
      <w:r>
        <w:rPr>
          <w:rFonts w:ascii="Tahoma" w:cs="Tahoma" w:eastAsia="Tahoma" w:hAnsi="Tahoma"/>
          <w:color w:val="6B6B6B"/>
          <w:sz w:val="17"/>
          <w:szCs w:val="17"/>
          <w:rtl/>
        </w:rPr>
        <w:t xml:space="preserve">   (QMR)</w:t>
      </w:r>
    </w:p>
    <w:p>
      <w:pPr>
        <w:keepNext/>
        <w:spacing w:after="0" w:before="0" w:line="300" w:lineRule="exact"/>
      </w:pPr>
    </w:p>
    <w:p>
      <w:pPr>
        <w:keepNext/>
        <w:bidi/>
        <w:spacing w:after="200" w:before="0" w:line="465" w:lineRule="exact"/>
        <w:ind w:right="160"/>
        <w:jc w:val="right"/>
      </w:pPr>
      <w:r>
        <w:drawing>
          <wp:anchor distT="0" distB="0" distL="0" distR="0" simplePos="0" allowOverlap="1" behindDoc="1" locked="0" layoutInCell="1" relativeHeight="295275">
            <wp:simplePos x="0" y="0"/>
            <wp:positionH relativeFrom="margin">
              <wp:posOffset>0</wp:posOffset>
            </wp:positionH>
            <wp:positionV relativeFrom="paragraph">
              <wp:posOffset>0</wp:posOffset>
            </wp:positionV>
            <wp:extent cx="5734050" cy="2952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95275"/>
                    </a:xfrm>
                    <a:prstGeom prst="rect">
                      <a:avLst/>
                    </a:prstGeom>
                  </pic:spPr>
                </pic:pic>
              </a:graphicData>
            </a:graphic>
          </wp:anchor>
        </w:drawing>
      </w:r>
      <w:r>
        <w:rPr>
          <w:rFonts w:ascii="Tahoma" w:cs="Tahoma" w:eastAsia="Tahoma" w:hAnsi="Tahoma"/>
          <w:b/>
          <w:bCs/>
          <w:color w:val="1E1B20"/>
          <w:sz w:val="26"/>
          <w:szCs w:val="26"/>
          <w:rtl/>
        </w:rPr>
        <w:t xml:space="preserve">۸. شاخص‌های پایش این فرآیند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761"/>
        <w:gridCol w:w="2006"/>
        <w:gridCol w:w="1002"/>
      </w:tblGrid>
      <w:tr>
        <w:trPr>
          <w:cantSplit/>
          <w:tblHeader/>
        </w:trPr>
        <w:tc>
          <w:tcPr>
            <w:tcW w:type="dxa" w:w="2257"/>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شاخص</w:t>
            </w:r>
          </w:p>
        </w:tc>
        <w:tc>
          <w:tcPr>
            <w:tcW w:type="dxa" w:w="3761"/>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فرمول</w:t>
            </w:r>
          </w:p>
        </w:tc>
        <w:tc>
          <w:tcPr>
            <w:tcW w:type="dxa" w:w="2006"/>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هدف</w:t>
            </w:r>
          </w:p>
        </w:tc>
        <w:tc>
          <w:tcPr>
            <w:tcW w:type="dxa" w:w="1002"/>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دوره</w:t>
            </w:r>
          </w:p>
        </w:tc>
      </w:tr>
      <w:tr>
        <w:trPr>
          <w:cantSplit/>
          <w:tblHeader w:val="false"/>
        </w:trPr>
        <w:tc>
          <w:tcPr>
            <w:tcW w:type="dxa" w:w="225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نرخ بستن به‌موقع اقدامات</w:t>
            </w:r>
          </w:p>
        </w:tc>
        <w:tc>
          <w:tcPr>
            <w:tcW w:type="dxa" w:w="3761"/>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اقدامات بسته‌شده در مهلت ÷ اقدامات سررسیدشده × ۱۰۰</w:t>
            </w:r>
          </w:p>
        </w:tc>
        <w:tc>
          <w:tcPr>
            <w:tcW w:type="dxa" w:w="200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۸۵٪</w:t>
            </w:r>
          </w:p>
        </w:tc>
        <w:tc>
          <w:tcPr>
            <w:tcW w:type="dxa" w:w="1002"/>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ماهانه</w:t>
            </w:r>
          </w:p>
        </w:tc>
      </w:tr>
      <w:tr>
        <w:trPr>
          <w:cantSplit/>
          <w:tblHeader w:val="false"/>
        </w:trPr>
        <w:tc>
          <w:tcPr>
            <w:tcW w:type="dxa" w:w="2257"/>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اثربخشی اقدامات اصلاحی</w:t>
            </w:r>
          </w:p>
        </w:tc>
        <w:tc>
          <w:tcPr>
            <w:tcW w:type="dxa" w:w="3761"/>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اقدامات اثربخش ÷ اقدامات ارزیابی‌شده × ۱۰۰</w:t>
            </w:r>
          </w:p>
        </w:tc>
        <w:tc>
          <w:tcPr>
            <w:tcW w:type="dxa" w:w="200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۹۰٪</w:t>
            </w:r>
          </w:p>
        </w:tc>
        <w:tc>
          <w:tcPr>
            <w:tcW w:type="dxa" w:w="1002"/>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فصلی</w:t>
            </w:r>
          </w:p>
        </w:tc>
      </w:tr>
      <w:tr>
        <w:trPr>
          <w:cantSplit/>
          <w:tblHeader w:val="false"/>
        </w:trPr>
        <w:tc>
          <w:tcPr>
            <w:tcW w:type="dxa" w:w="225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تکرار عدم انطباق</w:t>
            </w:r>
          </w:p>
        </w:tc>
        <w:tc>
          <w:tcPr>
            <w:tcW w:type="dxa" w:w="3761"/>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عدم انطباق‌های تکراری ÷ کل عدم انطباق‌ها × ۱۰۰</w:t>
            </w:r>
          </w:p>
        </w:tc>
        <w:tc>
          <w:tcPr>
            <w:tcW w:type="dxa" w:w="200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۵٪</w:t>
            </w:r>
          </w:p>
        </w:tc>
        <w:tc>
          <w:tcPr>
            <w:tcW w:type="dxa" w:w="1002"/>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فصلی</w:t>
            </w:r>
          </w:p>
        </w:tc>
      </w:tr>
      <w:tr>
        <w:trPr>
          <w:cantSplit/>
          <w:tblHeader w:val="false"/>
        </w:trPr>
        <w:tc>
          <w:tcPr>
            <w:tcW w:type="dxa" w:w="2257"/>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میانگین زمان بستن پرونده</w:t>
            </w:r>
          </w:p>
        </w:tc>
        <w:tc>
          <w:tcPr>
            <w:tcW w:type="dxa" w:w="3761"/>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روز از ثبت تا بستن</w:t>
            </w:r>
          </w:p>
        </w:tc>
        <w:tc>
          <w:tcPr>
            <w:tcW w:type="dxa" w:w="200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بالا ≤ ۴۵ روز؛ متوسط ≤ ۶۰ روز</w:t>
            </w:r>
          </w:p>
        </w:tc>
        <w:tc>
          <w:tcPr>
            <w:tcW w:type="dxa" w:w="1002"/>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فصلی</w:t>
            </w:r>
          </w:p>
        </w:tc>
      </w:tr>
      <w:tr>
        <w:trPr>
          <w:cantSplit/>
          <w:tblHeader w:val="false"/>
        </w:trPr>
        <w:tc>
          <w:tcPr>
            <w:tcW w:type="dxa" w:w="225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مشارکت کارکنان</w:t>
            </w:r>
          </w:p>
        </w:tc>
        <w:tc>
          <w:tcPr>
            <w:tcW w:type="dxa" w:w="3761"/>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تعداد پیشنهاد ÷ تعداد کارکنان</w:t>
            </w:r>
          </w:p>
        </w:tc>
        <w:tc>
          <w:tcPr>
            <w:tcW w:type="dxa" w:w="200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۲ پیشنهاد در سال برای هر نفر</w:t>
            </w:r>
          </w:p>
        </w:tc>
        <w:tc>
          <w:tcPr>
            <w:tcW w:type="dxa" w:w="1002"/>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سالانه</w:t>
            </w:r>
          </w:p>
        </w:tc>
      </w:tr>
      <w:tr>
        <w:trPr>
          <w:cantSplit/>
          <w:tblHeader w:val="false"/>
        </w:trPr>
        <w:tc>
          <w:tcPr>
            <w:tcW w:type="dxa" w:w="2257"/>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نرخ اجرای پیشنهادها</w:t>
            </w:r>
          </w:p>
        </w:tc>
        <w:tc>
          <w:tcPr>
            <w:tcW w:type="dxa" w:w="3761"/>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پیشنهادهای اجراشده ÷ کل پیشنهادها × ۱۰۰</w:t>
            </w:r>
          </w:p>
        </w:tc>
        <w:tc>
          <w:tcPr>
            <w:tcW w:type="dxa" w:w="200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۳۰٪</w:t>
            </w:r>
          </w:p>
        </w:tc>
        <w:tc>
          <w:tcPr>
            <w:tcW w:type="dxa" w:w="1002"/>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سالانه</w:t>
            </w:r>
          </w:p>
        </w:tc>
      </w:tr>
      <w:tr>
        <w:trPr>
          <w:cantSplit/>
          <w:tblHeader w:val="false"/>
        </w:trPr>
        <w:tc>
          <w:tcPr>
            <w:tcW w:type="dxa" w:w="225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صرفه‌جویی ناشی از بهبود</w:t>
            </w:r>
          </w:p>
        </w:tc>
        <w:tc>
          <w:tcPr>
            <w:tcW w:type="dxa" w:w="3761"/>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جمع صرفه‌جویی برآوردی تأییدشده توسط مالی</w:t>
            </w:r>
          </w:p>
        </w:tc>
        <w:tc>
          <w:tcPr>
            <w:tcW w:type="dxa" w:w="200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تعیین در بازنگری مدیریت</w:t>
            </w:r>
          </w:p>
        </w:tc>
        <w:tc>
          <w:tcPr>
            <w:tcW w:type="dxa" w:w="1002"/>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سالانه</w:t>
            </w:r>
          </w:p>
        </w:tc>
      </w:tr>
    </w:tbl>
    <w:p>
      <w:pPr>
        <w:keepNext/>
        <w:spacing w:after="0" w:before="0" w:line="300" w:lineRule="exact"/>
      </w:pPr>
    </w:p>
    <w:p>
      <w:pPr>
        <w:keepNext/>
        <w:bidi/>
        <w:spacing w:after="200" w:before="0" w:line="465" w:lineRule="exact"/>
        <w:ind w:right="160"/>
        <w:jc w:val="right"/>
      </w:pPr>
      <w:r>
        <w:drawing>
          <wp:anchor distT="0" distB="0" distL="0" distR="0" simplePos="0" allowOverlap="1" behindDoc="1" locked="0" layoutInCell="1" relativeHeight="295275">
            <wp:simplePos x="0" y="0"/>
            <wp:positionH relativeFrom="margin">
              <wp:posOffset>0</wp:posOffset>
            </wp:positionH>
            <wp:positionV relativeFrom="paragraph">
              <wp:posOffset>0</wp:posOffset>
            </wp:positionV>
            <wp:extent cx="5734050" cy="2952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95275"/>
                    </a:xfrm>
                    <a:prstGeom prst="rect">
                      <a:avLst/>
                    </a:prstGeom>
                  </pic:spPr>
                </pic:pic>
              </a:graphicData>
            </a:graphic>
          </wp:anchor>
        </w:drawing>
      </w:r>
      <w:r>
        <w:rPr>
          <w:rFonts w:ascii="Tahoma" w:cs="Tahoma" w:eastAsia="Tahoma" w:hAnsi="Tahoma"/>
          <w:b/>
          <w:bCs/>
          <w:color w:val="1E1B20"/>
          <w:sz w:val="26"/>
          <w:szCs w:val="26"/>
          <w:rtl/>
        </w:rPr>
        <w:t xml:space="preserve">۹. سوابق</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0"/>
        <w:gridCol w:w="2927"/>
        <w:gridCol w:w="1464"/>
        <w:gridCol w:w="2196"/>
        <w:gridCol w:w="1219"/>
      </w:tblGrid>
      <w:tr>
        <w:trPr>
          <w:cantSplit/>
          <w:tblHeader/>
        </w:trPr>
        <w:tc>
          <w:tcPr>
            <w:tcW w:type="dxa" w:w="1220"/>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کد</w:t>
            </w:r>
          </w:p>
        </w:tc>
        <w:tc>
          <w:tcPr>
            <w:tcW w:type="dxa" w:w="2927"/>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عنوان سابقه</w:t>
            </w:r>
          </w:p>
        </w:tc>
        <w:tc>
          <w:tcPr>
            <w:tcW w:type="dxa" w:w="1464"/>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مسئول نگهداری</w:t>
            </w:r>
          </w:p>
        </w:tc>
        <w:tc>
          <w:tcPr>
            <w:tcW w:type="dxa" w:w="2196"/>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محل</w:t>
            </w:r>
          </w:p>
        </w:tc>
        <w:tc>
          <w:tcPr>
            <w:tcW w:type="dxa" w:w="1219"/>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مدت نگهداری</w:t>
            </w:r>
          </w:p>
        </w:tc>
      </w:tr>
      <w:tr>
        <w:trPr>
          <w:cantSplit/>
          <w:tblHeader w:val="false"/>
        </w:trPr>
        <w:tc>
          <w:tcPr>
            <w:tcW w:type="dxa" w:w="122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Pr>
              <w:t xml:space="preserve">F-10-01</w:t>
            </w:r>
          </w:p>
        </w:tc>
        <w:tc>
          <w:tcPr>
            <w:tcW w:type="dxa" w:w="292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فرم پیشنهاد بهبود</w:t>
            </w:r>
          </w:p>
        </w:tc>
        <w:tc>
          <w:tcPr>
            <w:tcW w:type="dxa" w:w="1464"/>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QMR</w:t>
            </w:r>
          </w:p>
        </w:tc>
        <w:tc>
          <w:tcPr>
            <w:tcW w:type="dxa" w:w="219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پوشه الکترونیکی بهبود</w:t>
            </w:r>
          </w:p>
        </w:tc>
        <w:tc>
          <w:tcPr>
            <w:tcW w:type="dxa" w:w="121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 سال</w:t>
            </w:r>
          </w:p>
        </w:tc>
      </w:tr>
      <w:tr>
        <w:trPr>
          <w:cantSplit/>
          <w:tblHeader w:val="false"/>
        </w:trPr>
        <w:tc>
          <w:tcPr>
            <w:tcW w:type="dxa" w:w="122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Pr>
              <w:t xml:space="preserve">F-10-02</w:t>
            </w:r>
          </w:p>
        </w:tc>
        <w:tc>
          <w:tcPr>
            <w:tcW w:type="dxa" w:w="2927"/>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درخواست اقدام اصلاحی (CAR)</w:t>
            </w:r>
          </w:p>
        </w:tc>
        <w:tc>
          <w:tcPr>
            <w:tcW w:type="dxa" w:w="1464"/>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QMR</w:t>
            </w:r>
          </w:p>
        </w:tc>
        <w:tc>
          <w:tcPr>
            <w:tcW w:type="dxa" w:w="219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پوشه الکترونیکی بهبود</w:t>
            </w:r>
          </w:p>
        </w:tc>
        <w:tc>
          <w:tcPr>
            <w:tcW w:type="dxa" w:w="121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 سال</w:t>
            </w:r>
          </w:p>
        </w:tc>
      </w:tr>
      <w:tr>
        <w:trPr>
          <w:cantSplit/>
          <w:tblHeader w:val="false"/>
        </w:trPr>
        <w:tc>
          <w:tcPr>
            <w:tcW w:type="dxa" w:w="122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Pr>
              <w:t xml:space="preserve">F-10-03</w:t>
            </w:r>
          </w:p>
        </w:tc>
        <w:tc>
          <w:tcPr>
            <w:tcW w:type="dxa" w:w="292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برنامه اقدام</w:t>
            </w:r>
          </w:p>
        </w:tc>
        <w:tc>
          <w:tcPr>
            <w:tcW w:type="dxa" w:w="1464"/>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QMR</w:t>
            </w:r>
          </w:p>
        </w:tc>
        <w:tc>
          <w:tcPr>
            <w:tcW w:type="dxa" w:w="219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پوشه الکترونیکی بهبود</w:t>
            </w:r>
          </w:p>
        </w:tc>
        <w:tc>
          <w:tcPr>
            <w:tcW w:type="dxa" w:w="121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 سال</w:t>
            </w:r>
          </w:p>
        </w:tc>
      </w:tr>
      <w:tr>
        <w:trPr>
          <w:cantSplit/>
          <w:tblHeader w:val="false"/>
        </w:trPr>
        <w:tc>
          <w:tcPr>
            <w:tcW w:type="dxa" w:w="122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Pr>
              <w:t xml:space="preserve">F-10-04</w:t>
            </w:r>
          </w:p>
        </w:tc>
        <w:tc>
          <w:tcPr>
            <w:tcW w:type="dxa" w:w="2927"/>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ثبت‌نام بهبود</w:t>
            </w:r>
          </w:p>
        </w:tc>
        <w:tc>
          <w:tcPr>
            <w:tcW w:type="dxa" w:w="1464"/>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QMR</w:t>
            </w:r>
          </w:p>
        </w:tc>
        <w:tc>
          <w:tcPr>
            <w:tcW w:type="dxa" w:w="219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فایل اکسل مرکزی</w:t>
            </w:r>
          </w:p>
        </w:tc>
        <w:tc>
          <w:tcPr>
            <w:tcW w:type="dxa" w:w="121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دائم</w:t>
            </w:r>
          </w:p>
        </w:tc>
      </w:tr>
      <w:tr>
        <w:trPr>
          <w:cantSplit/>
          <w:tblHeader w:val="false"/>
        </w:trPr>
        <w:tc>
          <w:tcPr>
            <w:tcW w:type="dxa" w:w="122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Pr>
              <w:t xml:space="preserve">F-10-05</w:t>
            </w:r>
          </w:p>
        </w:tc>
        <w:tc>
          <w:tcPr>
            <w:tcW w:type="dxa" w:w="292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ارزیابی اثربخشی</w:t>
            </w:r>
          </w:p>
        </w:tc>
        <w:tc>
          <w:tcPr>
            <w:tcW w:type="dxa" w:w="1464"/>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QMR</w:t>
            </w:r>
          </w:p>
        </w:tc>
        <w:tc>
          <w:tcPr>
            <w:tcW w:type="dxa" w:w="219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پوشه الکترونیکی بهبود</w:t>
            </w:r>
          </w:p>
        </w:tc>
        <w:tc>
          <w:tcPr>
            <w:tcW w:type="dxa" w:w="121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 سال</w:t>
            </w:r>
          </w:p>
        </w:tc>
      </w:tr>
      <w:tr>
        <w:trPr>
          <w:cantSplit/>
          <w:tblHeader w:val="false"/>
        </w:trPr>
        <w:tc>
          <w:tcPr>
            <w:tcW w:type="dxa" w:w="122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Pr>
              <w:t xml:space="preserve">—</w:t>
            </w:r>
          </w:p>
        </w:tc>
        <w:tc>
          <w:tcPr>
            <w:tcW w:type="dxa" w:w="2927"/>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صورتجلسات کمیته بهبود</w:t>
            </w:r>
          </w:p>
        </w:tc>
        <w:tc>
          <w:tcPr>
            <w:tcW w:type="dxa" w:w="1464"/>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QMR</w:t>
            </w:r>
          </w:p>
        </w:tc>
        <w:tc>
          <w:tcPr>
            <w:tcW w:type="dxa" w:w="219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پوشه جلسات</w:t>
            </w:r>
          </w:p>
        </w:tc>
        <w:tc>
          <w:tcPr>
            <w:tcW w:type="dxa" w:w="121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 سال</w:t>
            </w:r>
          </w:p>
        </w:tc>
      </w:tr>
    </w:tbl>
    <w:p>
      <w:pPr>
        <w:keepNext/>
        <w:bidi/>
        <w:spacing w:after="100" w:before="220"/>
        <w:jc w:val="right"/>
      </w:pPr>
      <w:r>
        <w:rPr>
          <w:rFonts w:ascii="Tahoma" w:cs="Tahoma" w:eastAsia="Tahoma" w:hAnsi="Tahoma"/>
          <w:b/>
          <w:bCs/>
          <w:color w:val="3A3340"/>
          <w:sz w:val="23"/>
          <w:szCs w:val="23"/>
          <w:rtl/>
        </w:rPr>
        <w:t xml:space="preserve">◂ سوابق بازنگری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32"/>
        <w:gridCol w:w="1547"/>
        <w:gridCol w:w="6447"/>
      </w:tblGrid>
      <w:tr>
        <w:trPr>
          <w:cantSplit/>
          <w:tblHeader/>
        </w:trPr>
        <w:tc>
          <w:tcPr>
            <w:tcW w:type="dxa" w:w="1032"/>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بازنگری</w:t>
            </w:r>
          </w:p>
        </w:tc>
        <w:tc>
          <w:tcPr>
            <w:tcW w:type="dxa" w:w="1547"/>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تاریخ</w:t>
            </w:r>
          </w:p>
        </w:tc>
        <w:tc>
          <w:tcPr>
            <w:tcW w:type="dxa" w:w="6447"/>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شرح تغییرات</w:t>
            </w:r>
          </w:p>
        </w:tc>
      </w:tr>
      <w:tr>
        <w:trPr>
          <w:cantSplit/>
          <w:tblHeader w:val="false"/>
        </w:trPr>
        <w:tc>
          <w:tcPr>
            <w:tcW w:type="dxa" w:w="1032"/>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۰۰</w:t>
            </w:r>
          </w:p>
        </w:tc>
        <w:tc>
          <w:tcPr>
            <w:tcW w:type="dxa" w:w="154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۱۴۰۵/۰۸/۰۸</w:t>
            </w:r>
          </w:p>
        </w:tc>
        <w:tc>
          <w:tcPr>
            <w:tcW w:type="dxa" w:w="644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صدور اولیه</w:t>
            </w:r>
          </w:p>
        </w:tc>
      </w:tr>
    </w:tbl>
    <w:p>
      <w:r>
        <w:br w:type="page"/>
      </w:r>
    </w:p>
    <w:p>
      <w:pPr>
        <w:keepNext/>
        <w:spacing w:after="0" w:before="0" w:line="300" w:lineRule="exact"/>
      </w:pPr>
    </w:p>
    <w:p>
      <w:pPr>
        <w:keepNext/>
        <w:bidi/>
        <w:spacing w:after="200" w:before="0" w:line="465" w:lineRule="exact"/>
        <w:ind w:right="160"/>
        <w:jc w:val="right"/>
      </w:pPr>
      <w:r>
        <w:drawing>
          <wp:anchor distT="0" distB="0" distL="0" distR="0" simplePos="0" allowOverlap="1" behindDoc="1" locked="0" layoutInCell="1" relativeHeight="295275">
            <wp:simplePos x="0" y="0"/>
            <wp:positionH relativeFrom="margin">
              <wp:posOffset>0</wp:posOffset>
            </wp:positionH>
            <wp:positionV relativeFrom="paragraph">
              <wp:posOffset>0</wp:posOffset>
            </wp:positionV>
            <wp:extent cx="5734050" cy="2952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95275"/>
                    </a:xfrm>
                    <a:prstGeom prst="rect">
                      <a:avLst/>
                    </a:prstGeom>
                  </pic:spPr>
                </pic:pic>
              </a:graphicData>
            </a:graphic>
          </wp:anchor>
        </w:drawing>
      </w:r>
      <w:r>
        <w:rPr>
          <w:rFonts w:ascii="Tahoma" w:cs="Tahoma" w:eastAsia="Tahoma" w:hAnsi="Tahoma"/>
          <w:b/>
          <w:bCs/>
          <w:color w:val="1E1B20"/>
          <w:sz w:val="26"/>
          <w:szCs w:val="26"/>
          <w:rtl/>
        </w:rPr>
        <w:t xml:space="preserve">۱۰. پیوست‌ها: فرم‌ها</w:t>
      </w:r>
    </w:p>
    <w:p>
      <w:pPr>
        <w:keepNext/>
        <w:bidi/>
        <w:spacing w:after="100" w:before="220"/>
        <w:jc w:val="right"/>
      </w:pPr>
      <w:r>
        <w:rPr>
          <w:rFonts w:ascii="Tahoma" w:cs="Tahoma" w:eastAsia="Tahoma" w:hAnsi="Tahoma"/>
          <w:b/>
          <w:bCs/>
          <w:color w:val="3A3340"/>
          <w:sz w:val="23"/>
          <w:szCs w:val="23"/>
          <w:rtl/>
        </w:rPr>
        <w:t xml:space="preserve">◂ فرم F-۱۰-۰۱ — پیشنهاد بهبود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فیلد</w:t>
            </w:r>
          </w:p>
        </w:tc>
        <w:tc>
          <w:tcPr>
            <w:tcW w:type="dxa" w:w="5416"/>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شرح / محل تکمیل</w:t>
            </w: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شماره (توسط QMR)</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نام و واحد پیشنهاددهنده</w:t>
            </w:r>
          </w:p>
        </w:tc>
        <w:tc>
          <w:tcPr>
            <w:tcW w:type="dxa" w:w="541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تاریخ</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وضعیت فعلی / مشکل</w:t>
            </w:r>
          </w:p>
        </w:tc>
        <w:tc>
          <w:tcPr>
            <w:tcW w:type="dxa" w:w="541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پیشنهاد</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فواید مورد انتظار (زمان، هزینه، کیفیت، رضایت مشتری)</w:t>
            </w:r>
          </w:p>
        </w:tc>
        <w:tc>
          <w:tcPr>
            <w:tcW w:type="dxa" w:w="541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برآورد هزینه اجرا</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نظر مدیر واحد</w:t>
            </w:r>
          </w:p>
        </w:tc>
        <w:tc>
          <w:tcPr>
            <w:tcW w:type="dxa" w:w="541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تصمیم کمیته: پذیرش / رد (دلیل) / نیاز به بررسی بیشتر</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تشویق پیشنهادی</w:t>
            </w:r>
          </w:p>
        </w:tc>
        <w:tc>
          <w:tcPr>
            <w:tcW w:type="dxa" w:w="541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r>
    </w:tbl>
    <w:p>
      <w:pPr>
        <w:keepNext/>
        <w:bidi/>
        <w:spacing w:after="100" w:before="220"/>
        <w:jc w:val="right"/>
      </w:pPr>
      <w:r>
        <w:rPr>
          <w:rFonts w:ascii="Tahoma" w:cs="Tahoma" w:eastAsia="Tahoma" w:hAnsi="Tahoma"/>
          <w:b/>
          <w:bCs/>
          <w:color w:val="3A3340"/>
          <w:sz w:val="23"/>
          <w:szCs w:val="23"/>
          <w:rtl/>
        </w:rPr>
        <w:t xml:space="preserve">◂ فرم F-۱۰-۰۲ — درخواست اقدام اصلاحی (CAR)</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فیلد</w:t>
            </w:r>
          </w:p>
        </w:tc>
        <w:tc>
          <w:tcPr>
            <w:tcW w:type="dxa" w:w="5416"/>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شرح / محل تکمیل</w:t>
            </w: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شماره CAR</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منبع: شکایت / محموله / ممیزی / شاخص / سایر</w:t>
            </w:r>
          </w:p>
        </w:tc>
        <w:tc>
          <w:tcPr>
            <w:tcW w:type="dxa" w:w="541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شرح عدم انطباق و الزام نقض‌شده</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شماره محموله / قرارداد / مشتری مرتبط</w:t>
            </w:r>
          </w:p>
        </w:tc>
        <w:tc>
          <w:tcPr>
            <w:tcW w:type="dxa" w:w="541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اصلاح فوری انجام‌شده و تاریخ</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امتیاز اولویت (I×U×E) و سطح</w:t>
            </w:r>
          </w:p>
        </w:tc>
        <w:tc>
          <w:tcPr>
            <w:tcW w:type="dxa" w:w="541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تحلیل علت ریشه‌ای (پیوست ۵ چرا یا استخوان ماهی)</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موارد مشابه بالقوه</w:t>
            </w:r>
          </w:p>
        </w:tc>
        <w:tc>
          <w:tcPr>
            <w:tcW w:type="dxa" w:w="541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اقدام اصلاحی و مالک</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مهلت</w:t>
            </w:r>
          </w:p>
        </w:tc>
        <w:tc>
          <w:tcPr>
            <w:tcW w:type="dxa" w:w="541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امضای مدیر واحد و QMR</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bl>
    <w:p>
      <w:pPr>
        <w:keepNext/>
        <w:bidi/>
        <w:spacing w:after="100" w:before="220"/>
        <w:jc w:val="right"/>
      </w:pPr>
      <w:r>
        <w:rPr>
          <w:rFonts w:ascii="Tahoma" w:cs="Tahoma" w:eastAsia="Tahoma" w:hAnsi="Tahoma"/>
          <w:b/>
          <w:bCs/>
          <w:color w:val="3A3340"/>
          <w:sz w:val="23"/>
          <w:szCs w:val="23"/>
          <w:rtl/>
        </w:rPr>
        <w:t xml:space="preserve">◂ فرم F-۱۰-۰۳ — برنامه اقدام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9"/>
        <w:gridCol w:w="2282"/>
        <w:gridCol w:w="1037"/>
        <w:gridCol w:w="1037"/>
        <w:gridCol w:w="830"/>
        <w:gridCol w:w="830"/>
        <w:gridCol w:w="1660"/>
        <w:gridCol w:w="831"/>
      </w:tblGrid>
      <w:tr>
        <w:trPr>
          <w:cantSplit/>
          <w:tblHeader/>
        </w:trPr>
        <w:tc>
          <w:tcPr>
            <w:tcW w:type="dxa" w:w="519"/>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ردیف</w:t>
            </w:r>
          </w:p>
        </w:tc>
        <w:tc>
          <w:tcPr>
            <w:tcW w:type="dxa" w:w="2282"/>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اقدام</w:t>
            </w:r>
          </w:p>
        </w:tc>
        <w:tc>
          <w:tcPr>
            <w:tcW w:type="dxa" w:w="1037"/>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مالک</w:t>
            </w:r>
          </w:p>
        </w:tc>
        <w:tc>
          <w:tcPr>
            <w:tcW w:type="dxa" w:w="1037"/>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منابع / هزینه</w:t>
            </w:r>
          </w:p>
        </w:tc>
        <w:tc>
          <w:tcPr>
            <w:tcW w:type="dxa" w:w="830"/>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شروع</w:t>
            </w:r>
          </w:p>
        </w:tc>
        <w:tc>
          <w:tcPr>
            <w:tcW w:type="dxa" w:w="830"/>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پایان</w:t>
            </w:r>
          </w:p>
        </w:tc>
        <w:tc>
          <w:tcPr>
            <w:tcW w:type="dxa" w:w="1660"/>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شاخص و هدف</w:t>
            </w:r>
          </w:p>
        </w:tc>
        <w:tc>
          <w:tcPr>
            <w:tcW w:type="dxa" w:w="831"/>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وضعیت</w:t>
            </w:r>
          </w:p>
        </w:tc>
      </w:tr>
      <w:tr>
        <w:trPr>
          <w:cantSplit/>
          <w:tblHeader w:val="false"/>
        </w:trPr>
        <w:tc>
          <w:tcPr>
            <w:tcW w:type="dxa" w:w="51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w:t>
            </w:r>
          </w:p>
        </w:tc>
        <w:tc>
          <w:tcPr>
            <w:tcW w:type="dxa" w:w="2282"/>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103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103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83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83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166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831"/>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r>
      <w:tr>
        <w:trPr>
          <w:cantSplit/>
          <w:tblHeader w:val="false"/>
        </w:trPr>
        <w:tc>
          <w:tcPr>
            <w:tcW w:type="dxa" w:w="51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۲</w:t>
            </w:r>
          </w:p>
        </w:tc>
        <w:tc>
          <w:tcPr>
            <w:tcW w:type="dxa" w:w="2282"/>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1037"/>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1037"/>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83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83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166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831"/>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r>
      <w:tr>
        <w:trPr>
          <w:cantSplit/>
          <w:tblHeader w:val="false"/>
        </w:trPr>
        <w:tc>
          <w:tcPr>
            <w:tcW w:type="dxa" w:w="51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۳</w:t>
            </w:r>
          </w:p>
        </w:tc>
        <w:tc>
          <w:tcPr>
            <w:tcW w:type="dxa" w:w="2282"/>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103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103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83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83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166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831"/>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r>
    </w:tbl>
    <w:p>
      <w:pPr>
        <w:keepNext/>
        <w:bidi/>
        <w:spacing w:after="100" w:before="220"/>
        <w:jc w:val="right"/>
      </w:pPr>
      <w:r>
        <w:rPr>
          <w:rFonts w:ascii="Tahoma" w:cs="Tahoma" w:eastAsia="Tahoma" w:hAnsi="Tahoma"/>
          <w:b/>
          <w:bCs/>
          <w:color w:val="3A3340"/>
          <w:sz w:val="23"/>
          <w:szCs w:val="23"/>
          <w:rtl/>
        </w:rPr>
        <w:t xml:space="preserve">◂ فرم F-۱۰-۰۴ — ثبت‌نام بهبود (ستون‌ها)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73"/>
        <w:gridCol w:w="776"/>
        <w:gridCol w:w="679"/>
        <w:gridCol w:w="1747"/>
        <w:gridCol w:w="679"/>
        <w:gridCol w:w="582"/>
        <w:gridCol w:w="679"/>
        <w:gridCol w:w="679"/>
        <w:gridCol w:w="679"/>
        <w:gridCol w:w="873"/>
        <w:gridCol w:w="780"/>
      </w:tblGrid>
      <w:tr>
        <w:trPr>
          <w:cantSplit/>
          <w:tblHeader/>
        </w:trPr>
        <w:tc>
          <w:tcPr>
            <w:tcW w:type="dxa" w:w="873"/>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کد</w:t>
            </w:r>
          </w:p>
        </w:tc>
        <w:tc>
          <w:tcPr>
            <w:tcW w:type="dxa" w:w="776"/>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تاریخ ثبت</w:t>
            </w:r>
          </w:p>
        </w:tc>
        <w:tc>
          <w:tcPr>
            <w:tcW w:type="dxa" w:w="679"/>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منبع</w:t>
            </w:r>
          </w:p>
        </w:tc>
        <w:tc>
          <w:tcPr>
            <w:tcW w:type="dxa" w:w="1747"/>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شرح</w:t>
            </w:r>
          </w:p>
        </w:tc>
        <w:tc>
          <w:tcPr>
            <w:tcW w:type="dxa" w:w="679"/>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واحد</w:t>
            </w:r>
          </w:p>
        </w:tc>
        <w:tc>
          <w:tcPr>
            <w:tcW w:type="dxa" w:w="582"/>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اولویت</w:t>
            </w:r>
          </w:p>
        </w:tc>
        <w:tc>
          <w:tcPr>
            <w:tcW w:type="dxa" w:w="679"/>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مالک</w:t>
            </w:r>
          </w:p>
        </w:tc>
        <w:tc>
          <w:tcPr>
            <w:tcW w:type="dxa" w:w="679"/>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مهلت</w:t>
            </w:r>
          </w:p>
        </w:tc>
        <w:tc>
          <w:tcPr>
            <w:tcW w:type="dxa" w:w="679"/>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وضعیت</w:t>
            </w:r>
          </w:p>
        </w:tc>
        <w:tc>
          <w:tcPr>
            <w:tcW w:type="dxa" w:w="873"/>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نتیجه اثربخشی</w:t>
            </w:r>
          </w:p>
        </w:tc>
        <w:tc>
          <w:tcPr>
            <w:tcW w:type="dxa" w:w="780"/>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تاریخ بستن</w:t>
            </w:r>
          </w:p>
        </w:tc>
      </w:tr>
      <w:tr>
        <w:trPr>
          <w:cantSplit/>
          <w:tblHeader w:val="false"/>
        </w:trPr>
        <w:tc>
          <w:tcPr>
            <w:tcW w:type="dxa" w:w="87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c>
          <w:tcPr>
            <w:tcW w:type="dxa" w:w="77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67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1747"/>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67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582"/>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67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67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679"/>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87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c>
          <w:tcPr>
            <w:tcW w:type="dxa" w:w="78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center"/>
            </w:pPr>
          </w:p>
        </w:tc>
      </w:tr>
      <w:tr>
        <w:trPr>
          <w:cantSplit/>
          <w:tblHeader w:val="false"/>
        </w:trPr>
        <w:tc>
          <w:tcPr>
            <w:tcW w:type="dxa" w:w="87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c>
          <w:tcPr>
            <w:tcW w:type="dxa" w:w="77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67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1747"/>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67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582"/>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67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67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679"/>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87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c>
          <w:tcPr>
            <w:tcW w:type="dxa" w:w="78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center"/>
            </w:pPr>
          </w:p>
        </w:tc>
      </w:tr>
    </w:tbl>
    <w:p>
      <w:pPr>
        <w:bidi/>
        <w:spacing w:after="120" w:line="330"/>
        <w:jc w:val="both"/>
      </w:pPr>
      <w:r>
        <w:rPr>
          <w:rFonts w:ascii="Tahoma" w:cs="Tahoma" w:eastAsia="Tahoma" w:hAnsi="Tahoma"/>
          <w:sz w:val="19"/>
          <w:szCs w:val="19"/>
          <w:rtl/>
        </w:rPr>
        <w:t xml:space="preserve">وضعیت‌های مجاز: ثبت‌شده / در تحلیل / در اجرا / در پایش / بسته‌شده / ردشده.</w:t>
      </w:r>
    </w:p>
    <w:p>
      <w:pPr>
        <w:keepNext/>
        <w:bidi/>
        <w:spacing w:after="100" w:before="220"/>
        <w:jc w:val="right"/>
      </w:pPr>
      <w:r>
        <w:rPr>
          <w:rFonts w:ascii="Tahoma" w:cs="Tahoma" w:eastAsia="Tahoma" w:hAnsi="Tahoma"/>
          <w:b/>
          <w:bCs/>
          <w:color w:val="3A3340"/>
          <w:sz w:val="23"/>
          <w:szCs w:val="23"/>
          <w:rtl/>
        </w:rPr>
        <w:t xml:space="preserve">◂ فرم F-۱۰-۰۵ — ارزیابی اثربخشی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فیلد</w:t>
            </w:r>
          </w:p>
        </w:tc>
        <w:tc>
          <w:tcPr>
            <w:tcW w:type="dxa" w:w="5416"/>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شرح / محل تکمیل</w:t>
            </w: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کد پرونده</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شاخص و هدف تعیین‌شده</w:t>
            </w:r>
          </w:p>
        </w:tc>
        <w:tc>
          <w:tcPr>
            <w:tcW w:type="dxa" w:w="541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مقدار شاخص پیش از اقدام</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مقدار شاخص پس از دوره پایش</w:t>
            </w:r>
          </w:p>
        </w:tc>
        <w:tc>
          <w:tcPr>
            <w:tcW w:type="dxa" w:w="541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دوره پایش</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نتیجه: اثربخش / نسبتاً اثربخش / غیراثربخش</w:t>
            </w:r>
          </w:p>
        </w:tc>
        <w:tc>
          <w:tcPr>
            <w:tcW w:type="dxa" w:w="541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مستندات به‌روزشده</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اقدام بعدی (در صورت عدم اثربخشی)</w:t>
            </w:r>
          </w:p>
        </w:tc>
        <w:tc>
          <w:tcPr>
            <w:tcW w:type="dxa" w:w="5416"/>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p>
        </w:tc>
      </w:tr>
      <w:tr>
        <w:trPr>
          <w:cantSplit/>
          <w:tblHeader w:val="false"/>
        </w:trPr>
        <w:tc>
          <w:tcPr>
            <w:tcW w:type="dxa" w:w="3610"/>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امضای QMR و تاریخ</w:t>
            </w:r>
          </w:p>
        </w:tc>
        <w:tc>
          <w:tcPr>
            <w:tcW w:type="dxa" w:w="5416"/>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p>
        </w:tc>
      </w:tr>
    </w:tbl>
    <w:p>
      <w:r>
        <w:br w:type="page"/>
      </w:r>
    </w:p>
    <w:p>
      <w:pPr>
        <w:keepNext/>
        <w:spacing w:after="0" w:before="0" w:line="300" w:lineRule="exact"/>
      </w:pPr>
    </w:p>
    <w:p>
      <w:pPr>
        <w:keepNext/>
        <w:bidi/>
        <w:spacing w:after="200" w:before="0" w:line="465" w:lineRule="exact"/>
        <w:ind w:right="160"/>
        <w:jc w:val="right"/>
      </w:pPr>
      <w:r>
        <w:drawing>
          <wp:anchor distT="0" distB="0" distL="0" distR="0" simplePos="0" allowOverlap="1" behindDoc="1" locked="0" layoutInCell="1" relativeHeight="295275">
            <wp:simplePos x="0" y="0"/>
            <wp:positionH relativeFrom="margin">
              <wp:posOffset>0</wp:posOffset>
            </wp:positionH>
            <wp:positionV relativeFrom="paragraph">
              <wp:posOffset>0</wp:posOffset>
            </wp:positionV>
            <wp:extent cx="5734050" cy="2952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95275"/>
                    </a:xfrm>
                    <a:prstGeom prst="rect">
                      <a:avLst/>
                    </a:prstGeom>
                  </pic:spPr>
                </pic:pic>
              </a:graphicData>
            </a:graphic>
          </wp:anchor>
        </w:drawing>
      </w:r>
      <w:r>
        <w:rPr>
          <w:rFonts w:ascii="Tahoma" w:cs="Tahoma" w:eastAsia="Tahoma" w:hAnsi="Tahoma"/>
          <w:b/>
          <w:bCs/>
          <w:color w:val="1E1B20"/>
          <w:sz w:val="26"/>
          <w:szCs w:val="26"/>
          <w:rtl/>
        </w:rPr>
        <w:t xml:space="preserve">۱۱. پیوست: نمونه‌های تکمیل‌شده</w:t>
      </w:r>
    </w:p>
    <w:p>
      <w:pPr>
        <w:bidi/>
        <w:spacing w:after="120" w:line="330"/>
        <w:jc w:val="both"/>
      </w:pPr>
      <w:r>
        <w:rPr>
          <w:rFonts w:ascii="Tahoma" w:cs="Tahoma" w:eastAsia="Tahoma" w:hAnsi="Tahoma"/>
          <w:sz w:val="21"/>
          <w:szCs w:val="21"/>
          <w:rtl/>
        </w:rPr>
        <w:t xml:space="preserve">دو نمونه زیر برای آموزش کارکنان آمده است و نحوه اجرای کامل چرخه را نشان می‌دهد. اعداد فرضی هستند.</w:t>
      </w:r>
    </w:p>
    <w:p>
      <w:pPr>
        <w:keepNext/>
        <w:bidi/>
        <w:spacing w:after="100" w:before="220"/>
        <w:jc w:val="right"/>
      </w:pPr>
      <w:r>
        <w:rPr>
          <w:rFonts w:ascii="Tahoma" w:cs="Tahoma" w:eastAsia="Tahoma" w:hAnsi="Tahoma"/>
          <w:b/>
          <w:bCs/>
          <w:color w:val="3A3340"/>
          <w:sz w:val="23"/>
          <w:szCs w:val="23"/>
          <w:rtl/>
        </w:rPr>
        <w:t xml:space="preserve">◂ نمونه ۱: اقدام اصلاحی — دانه شکسته بالای محموله برنج</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3"/>
        <w:gridCol w:w="7433"/>
      </w:tblGrid>
      <w:tr>
        <w:trPr>
          <w:cantSplit/>
          <w:tblHeader/>
        </w:trPr>
        <w:tc>
          <w:tcPr>
            <w:tcW w:type="dxa" w:w="1593"/>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گام</w:t>
            </w:r>
          </w:p>
        </w:tc>
        <w:tc>
          <w:tcPr>
            <w:tcW w:type="dxa" w:w="7433"/>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شرح</w:t>
            </w:r>
          </w:p>
        </w:tc>
      </w:tr>
      <w:tr>
        <w:trPr>
          <w:cantSplit/>
          <w:tblHeader w:val="false"/>
        </w:trPr>
        <w:tc>
          <w:tcPr>
            <w:tcW w:type="dxa" w:w="159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شناسایی</w:t>
            </w:r>
          </w:p>
        </w:tc>
        <w:tc>
          <w:tcPr>
            <w:tcW w:type="dxa" w:w="743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عمده‌فروش «الف» گزارش داد برنج محموله ۰۱۲ شکسته زیاد دارد. آزمون نمونه ورود: دانه شکسته ۷٫۸٪ (حد قرارداد: حداکثر ۵٪). کد: CAR-۱۴۰۵-۰۰۴.</w:t>
            </w:r>
          </w:p>
        </w:tc>
      </w:tr>
      <w:tr>
        <w:trPr>
          <w:cantSplit/>
          <w:tblHeader w:val="false"/>
        </w:trPr>
        <w:tc>
          <w:tcPr>
            <w:tcW w:type="dxa" w:w="159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اصلاح فوری</w:t>
            </w:r>
          </w:p>
        </w:tc>
        <w:tc>
          <w:tcPr>
            <w:tcW w:type="dxa" w:w="743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توقف فروش باقیمانده محموله، جداسازی و برچسب‌زدن در انبار، اطلاع به مشتری و توافق درباره تخفیف یا جایگزینی.</w:t>
            </w:r>
          </w:p>
        </w:tc>
      </w:tr>
      <w:tr>
        <w:trPr>
          <w:cantSplit/>
          <w:tblHeader w:val="false"/>
        </w:trPr>
        <w:tc>
          <w:tcPr>
            <w:tcW w:type="dxa" w:w="159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اولویت</w:t>
            </w:r>
          </w:p>
        </w:tc>
        <w:tc>
          <w:tcPr>
            <w:tcW w:type="dxa" w:w="743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اثر ۵ × فوریت ۴ × سهولت ۴ = ۸۰ ← بحرانی (زیان مالی و اعتبار نزد مشتری عمده).</w:t>
            </w:r>
          </w:p>
        </w:tc>
      </w:tr>
      <w:tr>
        <w:trPr>
          <w:cantSplit/>
          <w:tblHeader w:val="false"/>
        </w:trPr>
        <w:tc>
          <w:tcPr>
            <w:tcW w:type="dxa" w:w="159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۵ چرا</w:t>
            </w:r>
          </w:p>
        </w:tc>
        <w:tc>
          <w:tcPr>
            <w:tcW w:type="dxa" w:w="743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 چرا شکسته زیاد بود؟ برنج تحویلی با نمونه تأییدشده مطابقت نداشت. ۲) چرا؟ نمونه پیش از حمل از همان بچ بارگیری‌شده گرفته نشده بود. ۳) چرا؟ بازرسی مستقل پیش از حمل در قرارداد الزامی نبود. ۴) چرا؟ قالب قرارداد بند بازرسی و مرجع نمونه نداشت. ۵) چرا؟ قالب قرارداد از ابتدا بدون بازنگری کیفی تهیه شده بود. ← علت ریشه‌ای: نبود الزام بازرسی پیش از حمل و مرجع نمونه در قرارداد خرید.</w:t>
            </w:r>
          </w:p>
        </w:tc>
      </w:tr>
      <w:tr>
        <w:trPr>
          <w:cantSplit/>
          <w:tblHeader w:val="false"/>
        </w:trPr>
        <w:tc>
          <w:tcPr>
            <w:tcW w:type="dxa" w:w="159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موارد مشابه</w:t>
            </w:r>
          </w:p>
        </w:tc>
        <w:tc>
          <w:tcPr>
            <w:tcW w:type="dxa" w:w="743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دو قرارداد باز دیگر با همین تأمین‌کننده و یک تأمین‌کننده دیگر همین نقص را داشتند.</w:t>
            </w:r>
          </w:p>
        </w:tc>
      </w:tr>
      <w:tr>
        <w:trPr>
          <w:cantSplit/>
          <w:tblHeader w:val="false"/>
        </w:trPr>
        <w:tc>
          <w:tcPr>
            <w:tcW w:type="dxa" w:w="159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اقدام اصلاحی</w:t>
            </w:r>
          </w:p>
        </w:tc>
        <w:tc>
          <w:tcPr>
            <w:tcW w:type="dxa" w:w="743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 افزودن بند بازرسی مستقل پیش از حمل، حداکثر شکسته، رطوبت و مرجع نمونه به قالب قرارداد (بازرگانی، ۱۰ روز). ۲) اصلاحیه قراردادهای باز (بازرگانی، ۷ روز). ۳) افزودن آزمون شکسته و رطوبت بدو ورود به چک‌لیست پذیرش (کیفیت، ۵ روز). ۴) کاهش امتیاز تأمین‌کننده در ارزیابی و اخذ ادعای خسارت (بازرگانی، ۱۴ روز).</w:t>
            </w:r>
          </w:p>
        </w:tc>
      </w:tr>
      <w:tr>
        <w:trPr>
          <w:cantSplit/>
          <w:tblHeader w:val="false"/>
        </w:trPr>
        <w:tc>
          <w:tcPr>
            <w:tcW w:type="dxa" w:w="159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اثربخشی</w:t>
            </w:r>
          </w:p>
        </w:tc>
        <w:tc>
          <w:tcPr>
            <w:tcW w:type="dxa" w:w="743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شاخص: شکسته در ۳ محموله بعدی ≤ ۵٪. نتیجه: ۳٫۹، ۴٫۴ و ۴٫۱٪ ← اثربخش.</w:t>
            </w:r>
          </w:p>
        </w:tc>
      </w:tr>
      <w:tr>
        <w:trPr>
          <w:cantSplit/>
          <w:tblHeader w:val="false"/>
        </w:trPr>
        <w:tc>
          <w:tcPr>
            <w:tcW w:type="dxa" w:w="159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استانداردسازی</w:t>
            </w:r>
          </w:p>
        </w:tc>
        <w:tc>
          <w:tcPr>
            <w:tcW w:type="dxa" w:w="743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قالب قرارداد خرید بازنگری شد؛ چک‌لیست پذیرش به‌روز شد؛ تجربه در جلسه کمیته ارائه شد. پرونده بسته شد.</w:t>
            </w:r>
          </w:p>
        </w:tc>
      </w:tr>
    </w:tbl>
    <w:p>
      <w:pPr>
        <w:keepNext/>
        <w:bidi/>
        <w:spacing w:after="100" w:before="220"/>
        <w:jc w:val="right"/>
      </w:pPr>
      <w:r>
        <w:rPr>
          <w:rFonts w:ascii="Tahoma" w:cs="Tahoma" w:eastAsia="Tahoma" w:hAnsi="Tahoma"/>
          <w:b/>
          <w:bCs/>
          <w:color w:val="3A3340"/>
          <w:sz w:val="23"/>
          <w:szCs w:val="23"/>
          <w:rtl/>
        </w:rPr>
        <w:t xml:space="preserve">◂ نمونه ۲: فرصت بهبود — کاهش زمان ترخیص</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3"/>
        <w:gridCol w:w="7433"/>
      </w:tblGrid>
      <w:tr>
        <w:trPr>
          <w:cantSplit/>
          <w:tblHeader/>
        </w:trPr>
        <w:tc>
          <w:tcPr>
            <w:tcW w:type="dxa" w:w="1593"/>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گام</w:t>
            </w:r>
          </w:p>
        </w:tc>
        <w:tc>
          <w:tcPr>
            <w:tcW w:type="dxa" w:w="7433"/>
            <w:tcBorders>
              <w:top w:val="single" w:color="BDB7C4" w:sz="4"/>
              <w:left w:val="single" w:color="BDB7C4" w:sz="4"/>
              <w:bottom w:val="single" w:color="BDB7C4" w:sz="4"/>
              <w:right w:val="single" w:color="BDB7C4" w:sz="4"/>
            </w:tcBorders>
            <w:shd w:fill="2E2A30"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شرح</w:t>
            </w:r>
          </w:p>
        </w:tc>
      </w:tr>
      <w:tr>
        <w:trPr>
          <w:cantSplit/>
          <w:tblHeader w:val="false"/>
        </w:trPr>
        <w:tc>
          <w:tcPr>
            <w:tcW w:type="dxa" w:w="159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شناسایی</w:t>
            </w:r>
          </w:p>
        </w:tc>
        <w:tc>
          <w:tcPr>
            <w:tcW w:type="dxa" w:w="743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شاخص ماهانه نشان داد میانگین زمان ترخیص از ۱۲ به ۱۹ روز رسیده و هزینه دموراژ افزایش یافته است. کد: OFI-۱۴۰۵-۰۰۹.</w:t>
            </w:r>
          </w:p>
        </w:tc>
      </w:tr>
      <w:tr>
        <w:trPr>
          <w:cantSplit/>
          <w:tblHeader w:val="false"/>
        </w:trPr>
        <w:tc>
          <w:tcPr>
            <w:tcW w:type="dxa" w:w="159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اولویت</w:t>
            </w:r>
          </w:p>
        </w:tc>
        <w:tc>
          <w:tcPr>
            <w:tcW w:type="dxa" w:w="743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اثر ۴ × فوریت ۴ × سهولت ۳ = ۴۸ ← بالا.</w:t>
            </w:r>
          </w:p>
        </w:tc>
      </w:tr>
      <w:tr>
        <w:trPr>
          <w:cantSplit/>
          <w:tblHeader w:val="false"/>
        </w:trPr>
        <w:tc>
          <w:tcPr>
            <w:tcW w:type="dxa" w:w="159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تحلیل</w:t>
            </w:r>
          </w:p>
        </w:tc>
        <w:tc>
          <w:tcPr>
            <w:tcW w:type="dxa" w:w="743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نقشه فرآیند و پارتو ۶ پرونده: ۷۰٪ تأخیر ناشی از ناقص‌بودن اسناد در زمان رسیدن کشتی (گواهی بهداشتی و گواهی آنالیز) بود.</w:t>
            </w:r>
          </w:p>
        </w:tc>
      </w:tr>
      <w:tr>
        <w:trPr>
          <w:cantSplit/>
          <w:tblHeader w:val="false"/>
        </w:trPr>
        <w:tc>
          <w:tcPr>
            <w:tcW w:type="dxa" w:w="159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اقدام</w:t>
            </w:r>
          </w:p>
        </w:tc>
        <w:tc>
          <w:tcPr>
            <w:tcW w:type="dxa" w:w="743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 چک‌لیست اسناد پیش از حمل و الزام ارسال اسکن اسناد ۷ روز پیش از رسیدن کشتی. ۲) جلسه هماهنگی با ترخیص‌کار هنگام بارگیری. ۳) پرونده الکترونیکی مشترک برای هر محموله.</w:t>
            </w:r>
          </w:p>
        </w:tc>
      </w:tr>
      <w:tr>
        <w:trPr>
          <w:cantSplit/>
          <w:tblHeader w:val="false"/>
        </w:trPr>
        <w:tc>
          <w:tcPr>
            <w:tcW w:type="dxa" w:w="159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اثربخشی</w:t>
            </w:r>
          </w:p>
        </w:tc>
        <w:tc>
          <w:tcPr>
            <w:tcW w:type="dxa" w:w="7433"/>
            <w:tcBorders>
              <w:top w:val="single" w:color="BDB7C4" w:sz="4"/>
              <w:left w:val="single" w:color="BDB7C4" w:sz="4"/>
              <w:bottom w:val="single" w:color="BDB7C4" w:sz="4"/>
              <w:right w:val="single" w:color="BDB7C4"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هدف: میانگین ≤ ۱۰ روز در ۳ ماه. نتیجه: ۹ روز؛ دموراژ صفر ← اثربخش.</w:t>
            </w:r>
          </w:p>
        </w:tc>
      </w:tr>
      <w:tr>
        <w:trPr>
          <w:cantSplit/>
          <w:tblHeader w:val="false"/>
        </w:trPr>
        <w:tc>
          <w:tcPr>
            <w:tcW w:type="dxa" w:w="159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استانداردسازی</w:t>
            </w:r>
          </w:p>
        </w:tc>
        <w:tc>
          <w:tcPr>
            <w:tcW w:type="dxa" w:w="7433"/>
            <w:tcBorders>
              <w:top w:val="single" w:color="BDB7C4" w:sz="4"/>
              <w:left w:val="single" w:color="BDB7C4" w:sz="4"/>
              <w:bottom w:val="single" w:color="BDB7C4" w:sz="4"/>
              <w:right w:val="single" w:color="BDB7C4" w:sz="4"/>
            </w:tcBorders>
            <w:shd w:fill="F7F6F9"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چک‌لیست اسناد به روش اجرایی واردات افزوده شد.</w:t>
            </w:r>
          </w:p>
        </w:tc>
      </w:tr>
    </w:tbl>
    <w:sectPr>
      <w:headerReference w:type="default" r:id="rId7"/>
      <w:footerReference w:type="default" r:id="rId8"/>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bidi/>
            <w:jc w:val="right"/>
          </w:pPr>
          <w:r>
            <w:rPr>
              <w:rFonts w:ascii="Tahoma" w:cs="Tahoma" w:eastAsia="Tahoma" w:hAnsi="Tahoma"/>
              <w:b/>
              <w:bCs/>
              <w:sz w:val="17"/>
              <w:szCs w:val="17"/>
              <w:rtl/>
            </w:rPr>
            <w:t xml:space="preserve">کد مدرک: </w:t>
          </w:r>
          <w:r>
            <w:rPr>
              <w:rFonts w:ascii="Tahoma" w:cs="Tahoma" w:eastAsia="Tahoma" w:hAnsi="Tahoma"/>
              <w:b/>
              <w:bCs/>
              <w:sz w:val="17"/>
              <w:szCs w:val="17"/>
            </w:rPr>
            <w:t xml:space="preserve">QP-010</w:t>
          </w:r>
        </w:p>
      </w:tc>
      <w:tc>
        <w:tcPr>
          <w:tcW w:type="dxa" w:w="451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bidi/>
            <w:jc w:val="left"/>
          </w:pPr>
          <w:r>
            <w:rPr>
              <w:rFonts w:ascii="Tahoma" w:cs="Tahoma" w:eastAsia="Tahoma" w:hAnsi="Tahoma"/>
              <w:b/>
              <w:bCs/>
              <w:sz w:val="17"/>
              <w:szCs w:val="17"/>
              <w:rtl/>
            </w:rPr>
            <w:t xml:space="preserve">صفحه </w:t>
          </w:r>
          <w:r>
            <w:rPr>
              <w:rFonts w:ascii="Tahoma" w:cs="Tahoma" w:eastAsia="Tahoma" w:hAnsi="Tahoma"/>
              <w:b/>
              <w:bCs/>
              <w:sz w:val="17"/>
              <w:szCs w:val="17"/>
            </w:rPr>
            <w:fldChar w:fldCharType="begin"/>
            <w:instrText xml:space="preserve">PAGE</w:instrText>
            <w:fldChar w:fldCharType="separate"/>
            <w:fldChar w:fldCharType="end"/>
          </w:r>
          <w:r>
            <w:rPr>
              <w:rFonts w:ascii="Tahoma" w:cs="Tahoma" w:eastAsia="Tahoma" w:hAnsi="Tahoma"/>
              <w:b/>
              <w:bCs/>
              <w:sz w:val="17"/>
              <w:szCs w:val="17"/>
              <w:rtl/>
            </w:rPr>
            <w:t xml:space="preserve"> از </w:t>
          </w:r>
          <w:r>
            <w:rPr>
              <w:rFonts w:ascii="Tahoma" w:cs="Tahoma" w:eastAsia="Tahoma" w:hAnsi="Tahoma"/>
              <w:b/>
              <w:bCs/>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26"/>
      <w:gridCol w:w="2800"/>
    </w:tblGrid>
    <w:t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bidi/>
            <w:spacing w:after="0"/>
            <w:jc w:val="right"/>
          </w:pPr>
          <w:r>
            <w:rPr>
              <w:rFonts w:ascii="Tahoma" w:cs="Tahoma" w:eastAsia="Tahoma" w:hAnsi="Tahoma"/>
              <w:b/>
              <w:bCs/>
              <w:color w:val="2E2A30"/>
              <w:sz w:val="20"/>
              <w:szCs w:val="20"/>
              <w:rtl/>
            </w:rPr>
            <w:t xml:space="preserve">بردیا تجارت ماندگار</w:t>
          </w:r>
        </w:p>
      </w:tc>
      <w:tc>
        <w:tcPr>
          <w:tcW w:type="dxa" w:w="3226"/>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bidi/>
            <w:spacing w:after="0"/>
            <w:jc w:val="center"/>
          </w:pPr>
          <w:r>
            <w:rPr>
              <w:rFonts w:ascii="Tahoma" w:cs="Tahoma" w:eastAsia="Tahoma" w:hAnsi="Tahoma"/>
              <w:b/>
              <w:bCs/>
              <w:color w:val="2E2A30"/>
              <w:sz w:val="20"/>
              <w:szCs w:val="20"/>
              <w:rtl/>
            </w:rPr>
            <w:t xml:space="preserve">روش اجرایی</w:t>
          </w:r>
        </w:p>
        <w:p>
          <w:pPr>
            <w:bidi/>
            <w:spacing w:after="0"/>
            <w:jc w:val="center"/>
          </w:pPr>
          <w:r>
            <w:rPr>
              <w:rFonts w:ascii="Tahoma" w:cs="Tahoma" w:eastAsia="Tahoma" w:hAnsi="Tahoma"/>
              <w:b/>
              <w:bCs/>
              <w:color w:val="2E2A30"/>
              <w:sz w:val="20"/>
              <w:szCs w:val="20"/>
              <w:rtl/>
            </w:rPr>
            <w:t xml:space="preserve">بهبود مستمر</w:t>
          </w:r>
        </w:p>
      </w:tc>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bidi/>
            <w:spacing w:after="0"/>
            <w:jc w:val="left"/>
          </w:pPr>
          <w:r>
            <w:rPr>
              <w:rFonts w:ascii="Tahoma" w:cs="Tahoma" w:eastAsia="Tahoma" w:hAnsi="Tahoma"/>
              <w:color w:val="2E2A30"/>
              <w:sz w:val="16"/>
              <w:szCs w:val="16"/>
              <w:rtl/>
            </w:rPr>
            <w:t xml:space="preserve">تاریخ تهیه:  ۱۴۰۵/۰۸/۰۸</w:t>
          </w:r>
        </w:p>
        <w:p>
          <w:pPr>
            <w:bidi/>
            <w:jc w:val="left"/>
          </w:pPr>
          <w:r>
            <w:rPr>
              <w:rFonts w:ascii="Tahoma" w:cs="Tahoma" w:eastAsia="Tahoma" w:hAnsi="Tahoma"/>
              <w:sz w:val="16"/>
              <w:szCs w:val="16"/>
              <w:rtl/>
            </w:rPr>
            <w:t xml:space="preserve">شماره:  </w:t>
          </w:r>
          <w:r>
            <w:rPr>
              <w:rFonts w:ascii="Tahoma" w:cs="Tahoma" w:eastAsia="Tahoma" w:hAnsi="Tahoma"/>
              <w:sz w:val="16"/>
              <w:szCs w:val="16"/>
            </w:rPr>
            <w:t xml:space="preserve">QP-010</w:t>
          </w:r>
        </w:p>
      </w:tc>
    </w:tr>
  </w:tbl>
  <w:p>
    <w:pP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80" w:hanging="280"/>
      </w:pPr>
      <w:rPr>
        <w:color w:val="6A5A7A"/>
        <w:sz w:val="14"/>
        <w:szCs w:val="14"/>
      </w:rPr>
    </w:lvl>
  </w:abstractNum>
  <w:abstractNum w:abstractNumId="3" w15:restartNumberingAfterBreak="0">
    <w:multiLevelType w:val="hybridMultilevel"/>
    <w:lvl w:ilvl="0" w15:tentative="1">
      <w:start w:val="1"/>
      <w:numFmt w:val="decimal"/>
      <w:lvlText w:val="%1."/>
      <w:lvlJc w:val="right"/>
      <w:pPr>
        <w:ind w:right="520" w:hanging="3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79b6d5f69e9dceab763582b0e3c310850285ad.png"/><Relationship Id="rId10" Type="http://schemas.openxmlformats.org/officeDocument/2006/relationships/image" Target="media/8916bb7c30366d3cfadff9f03663469e96e7f5d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روش اجرایی بهبود مستمر — QP-010</dc:title>
  <dc:creator>شرکت بردیا تجارت ماندگار</dc:creator>
  <cp:lastModifiedBy>Un-named</cp:lastModifiedBy>
  <cp:revision>1</cp:revision>
  <dcterms:created xsi:type="dcterms:W3CDTF">2026-10-30T22:46:48.118Z</dcterms:created>
  <dcterms:modified xsi:type="dcterms:W3CDTF">2026-10-30T22:46:48.118Z</dcterms:modified>
</cp:coreProperties>
</file>

<file path=docProps/custom.xml><?xml version="1.0" encoding="utf-8"?>
<Properties xmlns="http://schemas.openxmlformats.org/officeDocument/2006/custom-properties" xmlns:vt="http://schemas.openxmlformats.org/officeDocument/2006/docPropsVTypes"/>
</file>