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روش و فرم ارزیابی تأمین‌کنندگان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مدرک روش انتخاب، ارزیابی و رده‌بندی تأمین‌کنندگان برنج، چای و خدمات وابسته شرکت بردیا تجارت ماندگار را تعیین می‌کند. نتیجه ارزیابی مبنای ورود به «فهرست تأمین‌کنندگان معتبر» طبق ماده ۱۶ آیین‌نامه معاملات است.</w:t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۱. دامنه و مسئولیت‌ها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مورد</w:t>
            </w:r>
          </w:p>
        </w:tc>
        <w:tc>
          <w:tcPr>
            <w:tcW w:type="dxa" w:w="7483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شرح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دامنه</w:t>
            </w:r>
          </w:p>
        </w:tc>
        <w:tc>
          <w:tcPr>
            <w:tcW w:type="dxa" w:w="748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تأمین‌کنندگان خارجی برنج و چای، و ارائه‌دهندگان خدمات حمل، بیمه، بازرسی، ترخیص و بسته‌بندی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واحد بازرگانی</w:t>
            </w:r>
          </w:p>
        </w:tc>
        <w:tc>
          <w:tcPr>
            <w:tcW w:type="dxa" w:w="748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جمع‌آوری مدارک، تکمیل فرم و امتیازدهی معیارهای تجاری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مسئول کنترل کیفیت</w:t>
            </w:r>
          </w:p>
        </w:tc>
        <w:tc>
          <w:tcPr>
            <w:tcW w:type="dxa" w:w="748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امتیازدهی کیفیت بر پایه نتایج آزمایش و بازرسی محموله‌ها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واحد مالی</w:t>
            </w:r>
          </w:p>
        </w:tc>
        <w:tc>
          <w:tcPr>
            <w:tcW w:type="dxa" w:w="748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بررسی سوابق پرداخت، مدارک بانکی و تضمین‌ها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مدیرعامل</w:t>
            </w:r>
          </w:p>
        </w:tc>
        <w:tc>
          <w:tcPr>
            <w:tcW w:type="dxa" w:w="748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تأیید نهایی رده‌بندی و تصمیم درباره ادامه همکاری</w:t>
            </w:r>
          </w:p>
        </w:tc>
      </w:tr>
    </w:tbl>
    <w:p>
      <w:pPr>
        <w:spacing w:after="40"/>
      </w:pP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۲. زمان ارزیابی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ارزیابی اولیه: پیش از اولین خرید از هر تأمین‌کننده جدید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ارزیابی پس از هر محموله: ثبت نتیجه بازرسی، تأخیر و مغایرت‌ها در سابقه تأمین‌کننده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ارزیابی دوره‌ای: هر سال یک بار در آبان‌ماه برای همه تأمین‌کنندگان فعال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ارزیابی فوری: پس از مرجوعی محموله، شکایت جدی یا تغییر مالکیت تأمین‌کننده</w:t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۳. معیارها و وزن‌ها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هر معیار از ۰ تا ۱۰ امتیاز می‌گیرد. امتیاز وزنی برابر است با امتیاز × وزن ÷ ۱۰ و جمع امتیازهای وزنی از ۱۰۰ محاسبه می‌شود.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510"/>
        <w:gridCol w:w="2665"/>
        <w:gridCol w:w="624"/>
        <w:gridCol w:w="2098"/>
        <w:gridCol w:w="1928"/>
        <w:gridCol w:w="2041"/>
      </w:tblGrid>
      <w:tr>
        <w:trPr>
          <w:cantSplit/>
          <w:tblHeader/>
        </w:trPr>
        <w:tc>
          <w:tcPr>
            <w:tcW w:type="dxa" w:w="510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FFFFFF"/>
                <w:rtl/>
              </w:rPr>
              <w:t>ردیف</w:t>
            </w:r>
          </w:p>
        </w:tc>
        <w:tc>
          <w:tcPr>
            <w:tcW w:type="dxa" w:w="2665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FFFFFF"/>
                <w:rtl/>
              </w:rPr>
              <w:t>معیار</w:t>
            </w:r>
          </w:p>
        </w:tc>
        <w:tc>
          <w:tcPr>
            <w:tcW w:type="dxa" w:w="62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FFFFFF"/>
                <w:rtl/>
              </w:rPr>
              <w:t>وزن</w:t>
            </w:r>
          </w:p>
        </w:tc>
        <w:tc>
          <w:tcPr>
            <w:tcW w:type="dxa" w:w="209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FFFFFF"/>
                <w:rtl/>
              </w:rPr>
              <w:t>۱۰ امتیاز</w:t>
            </w:r>
          </w:p>
        </w:tc>
        <w:tc>
          <w:tcPr>
            <w:tcW w:type="dxa" w:w="192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FFFFFF"/>
                <w:rtl/>
              </w:rPr>
              <w:t>۵ امتیاز</w:t>
            </w:r>
          </w:p>
        </w:tc>
        <w:tc>
          <w:tcPr>
            <w:tcW w:type="dxa" w:w="204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FFFFFF"/>
                <w:rtl/>
              </w:rPr>
              <w:t>۰ امتیاز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۱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کیفیت کالا (شکسته، رطوبت، مواد خارجی، باقیمانده سموم، عطر و پخت)</w:t>
            </w:r>
          </w:p>
        </w:tc>
        <w:tc>
          <w:tcPr>
            <w:tcW w:type="dxa" w:w="62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۳۰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همه محموله‌ها منطبق با قرارداد و استاندارد ملی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مغایرت جزئی با تخفیف قیمت حل شد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محموله مرجوعی یا رد در آزمایش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۲</w:t>
            </w:r>
          </w:p>
        </w:tc>
        <w:tc>
          <w:tcPr>
            <w:tcW w:type="dxa" w:w="2665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قیمت تمام‌شده نسبت به بازار</w:t>
            </w:r>
          </w:p>
        </w:tc>
        <w:tc>
          <w:tcPr>
            <w:tcW w:type="dxa" w:w="62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۲۰</w:t>
            </w:r>
          </w:p>
        </w:tc>
        <w:tc>
          <w:tcPr>
            <w:tcW w:type="dxa" w:w="209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کمترین قیمت بین سه پیشنهاد</w:t>
            </w:r>
          </w:p>
        </w:tc>
        <w:tc>
          <w:tcPr>
            <w:tcW w:type="dxa" w:w="192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تا ۵٪ بالاتر از کمترین</w:t>
            </w:r>
          </w:p>
        </w:tc>
        <w:tc>
          <w:tcPr>
            <w:tcW w:type="dxa" w:w="204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بیش از ۱۰٪ بالاتر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۳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به‌موقع بودن حمل</w:t>
            </w:r>
          </w:p>
        </w:tc>
        <w:tc>
          <w:tcPr>
            <w:tcW w:type="dxa" w:w="62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۱۵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بارگیری در بازه قرارداد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تأخیر تا ۲ هفته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تأخیر بیش از ۴ هفته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۴</w:t>
            </w:r>
          </w:p>
        </w:tc>
        <w:tc>
          <w:tcPr>
            <w:tcW w:type="dxa" w:w="2665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کامل و درست بودن اسناد (بارنامه، گواهی مبدأ، گواهی بهداشت گیاهی، بازرسی)</w:t>
            </w:r>
          </w:p>
        </w:tc>
        <w:tc>
          <w:tcPr>
            <w:tcW w:type="dxa" w:w="62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۱۰</w:t>
            </w:r>
          </w:p>
        </w:tc>
        <w:tc>
          <w:tcPr>
            <w:tcW w:type="dxa" w:w="209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بدون نقص</w:t>
            </w:r>
          </w:p>
        </w:tc>
        <w:tc>
          <w:tcPr>
            <w:tcW w:type="dxa" w:w="192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نقص رفع‌شده بدون هزینه</w:t>
            </w:r>
          </w:p>
        </w:tc>
        <w:tc>
          <w:tcPr>
            <w:tcW w:type="dxa" w:w="204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نقص منجر به توقف ترخیص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۵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بسته‌بندی و برچسب</w:t>
            </w:r>
          </w:p>
        </w:tc>
        <w:tc>
          <w:tcPr>
            <w:tcW w:type="dxa" w:w="62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۱۰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مطابق مشخصات و مقررات غذا و دارو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ایراد جزئی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کیسه پاره یا برچسب نادرست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۶</w:t>
            </w:r>
          </w:p>
        </w:tc>
        <w:tc>
          <w:tcPr>
            <w:tcW w:type="dxa" w:w="2665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شرایط پرداخت و اعتبار</w:t>
            </w:r>
          </w:p>
        </w:tc>
        <w:tc>
          <w:tcPr>
            <w:tcW w:type="dxa" w:w="62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۱۰</w:t>
            </w:r>
          </w:p>
        </w:tc>
        <w:tc>
          <w:tcPr>
            <w:tcW w:type="dxa" w:w="209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اعتبار اسنادی یا پرداخت پس از حمل</w:t>
            </w:r>
          </w:p>
        </w:tc>
        <w:tc>
          <w:tcPr>
            <w:tcW w:type="dxa" w:w="192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پیش‌پرداخت تا ۲۰٪</w:t>
            </w:r>
          </w:p>
        </w:tc>
        <w:tc>
          <w:tcPr>
            <w:tcW w:type="dxa" w:w="204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پیش‌پرداخت بیش از ۳۰٪ بدون ضمانت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۷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پاسخگویی و رسیدگی به شکایت</w:t>
            </w:r>
          </w:p>
        </w:tc>
        <w:tc>
          <w:tcPr>
            <w:tcW w:type="dxa" w:w="62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۵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پاسخ ظرف ۴۸ ساعت و جبران کامل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پاسخ با تأخیر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بی‌پاسخ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665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جمع</w:t>
            </w:r>
          </w:p>
        </w:tc>
        <w:tc>
          <w:tcPr>
            <w:tcW w:type="dxa" w:w="62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  <w:t>۱۰۰</w:t>
            </w:r>
          </w:p>
        </w:tc>
        <w:tc>
          <w:tcPr>
            <w:tcW w:type="dxa" w:w="209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2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04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40"/>
      </w:pP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۴. رده‌بندی و اقدام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794"/>
        <w:gridCol w:w="1474"/>
        <w:gridCol w:w="1814"/>
        <w:gridCol w:w="5783"/>
      </w:tblGrid>
      <w:tr>
        <w:trPr>
          <w:cantSplit/>
          <w:tblHeader/>
        </w:trPr>
        <w:tc>
          <w:tcPr>
            <w:tcW w:type="dxa" w:w="79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رده</w:t>
            </w:r>
          </w:p>
        </w:tc>
        <w:tc>
          <w:tcPr>
            <w:tcW w:type="dxa" w:w="147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جمع امتیاز</w:t>
            </w:r>
          </w:p>
        </w:tc>
        <w:tc>
          <w:tcPr>
            <w:tcW w:type="dxa" w:w="181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وضعیت</w:t>
            </w:r>
          </w:p>
        </w:tc>
        <w:tc>
          <w:tcPr>
            <w:tcW w:type="dxa" w:w="5783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اقدام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A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۸۵ تا ۱۰۰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تأمین‌کننده برتر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اولویت در استعلام‌ها؛ امکان قرارداد بلندمدت و ترک تشریفات طبق ماده ۱۴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۷۰ تا ۸۴</w:t>
            </w:r>
          </w:p>
        </w:tc>
        <w:tc>
          <w:tcPr>
            <w:tcW w:type="dxa" w:w="181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معتبر</w:t>
            </w:r>
          </w:p>
        </w:tc>
        <w:tc>
          <w:tcPr>
            <w:tcW w:type="dxa" w:w="578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ادامه همکاری؛ اعلام نقاط ضعف به تأمین‌کننده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C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۵۰ تا ۶۹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مشروط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خرید فقط با بازرسی کامل پیش از حمل؛ ارزیابی مجدد پس از محموله بعدی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D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کمتر از ۵۰</w:t>
            </w:r>
          </w:p>
        </w:tc>
        <w:tc>
          <w:tcPr>
            <w:tcW w:type="dxa" w:w="181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رد</w:t>
            </w:r>
          </w:p>
        </w:tc>
        <w:tc>
          <w:tcPr>
            <w:tcW w:type="dxa" w:w="578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حذف از فهرست معتبر؛ همکاری مجدد پس از یک سال و ارزیابی اولیه جدید</w:t>
            </w:r>
          </w:p>
        </w:tc>
      </w:tr>
    </w:tbl>
    <w:p>
      <w:pPr>
        <w:spacing w:after="40"/>
      </w:pP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تبصره.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صرف‌نظر از امتیاز، تأمین‌کننده‌ای که دو محموله مرجوعی یا تأخیر جدی داشته باشد از فهرست حذف می‌شود (ماده ۱۶ آیین‌نامه معاملات).</w:t>
      </w:r>
    </w:p>
    <w:p>
      <w:r>
        <w:br w:type="page"/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۵. فرم ارزیابی تأمین‌کننده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1871"/>
        <w:gridCol w:w="3061"/>
        <w:gridCol w:w="1871"/>
        <w:gridCol w:w="3061"/>
      </w:tblGrid>
      <w:tr>
        <w:trPr>
          <w:trHeight w:val="425"/>
          <w:cantSplit/>
          <w:tblHeader/>
        </w:trPr>
        <w:tc>
          <w:tcPr>
            <w:tcW w:type="dxa" w:w="187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مشخصات</w:t>
            </w:r>
          </w:p>
        </w:tc>
        <w:tc>
          <w:tcPr>
            <w:tcW w:type="dxa" w:w="306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شرح</w:t>
            </w:r>
          </w:p>
        </w:tc>
        <w:tc>
          <w:tcPr>
            <w:tcW w:type="dxa" w:w="187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مشخصات</w:t>
            </w:r>
          </w:p>
        </w:tc>
        <w:tc>
          <w:tcPr>
            <w:tcW w:type="dxa" w:w="306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شرح</w:t>
            </w:r>
          </w:p>
        </w:tc>
      </w:tr>
      <w:tr>
        <w:trPr>
          <w:trHeight w:val="425"/>
          <w:cantSplit/>
        </w:trPr>
        <w:tc>
          <w:tcPr>
            <w:tcW w:type="dxa" w:w="187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تأمین‌کننده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کشور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187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نوع کالا/خدمت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 برنج  ☐ چای  ☐ خدمات</w:t>
            </w:r>
          </w:p>
        </w:tc>
        <w:tc>
          <w:tcPr>
            <w:tcW w:type="dxa" w:w="187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شماره قرارداد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187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نوع ارزیابی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 اولیه  ☐ دوره‌ای  ☐ فوری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ارزیابی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187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تعداد محموله‌های دوره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87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حجم کل (تن)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567"/>
        <w:gridCol w:w="3061"/>
        <w:gridCol w:w="680"/>
        <w:gridCol w:w="1474"/>
        <w:gridCol w:w="1361"/>
        <w:gridCol w:w="2721"/>
      </w:tblGrid>
      <w:tr>
        <w:trPr>
          <w:trHeight w:val="425"/>
          <w:cantSplit/>
          <w:tblHeader/>
        </w:trPr>
        <w:tc>
          <w:tcPr>
            <w:tcW w:type="dxa" w:w="567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ردیف</w:t>
            </w:r>
          </w:p>
        </w:tc>
        <w:tc>
          <w:tcPr>
            <w:tcW w:type="dxa" w:w="306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معیار</w:t>
            </w:r>
          </w:p>
        </w:tc>
        <w:tc>
          <w:tcPr>
            <w:tcW w:type="dxa" w:w="680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وزن</w:t>
            </w:r>
          </w:p>
        </w:tc>
        <w:tc>
          <w:tcPr>
            <w:tcW w:type="dxa" w:w="147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امتیاز (۰ تا ۱۰)</w:t>
            </w:r>
          </w:p>
        </w:tc>
        <w:tc>
          <w:tcPr>
            <w:tcW w:type="dxa" w:w="136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امتیاز وزنی</w:t>
            </w:r>
          </w:p>
        </w:tc>
        <w:tc>
          <w:tcPr>
            <w:tcW w:type="dxa" w:w="272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مستند / توضیح</w:t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کیفیت کالا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۳۰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۲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قیمت تمام‌شده نسبت به بازار</w:t>
            </w:r>
          </w:p>
        </w:tc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۲۰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۳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به‌موقع بودن حمل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۱۵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۴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کامل و درست بودن اسناد</w:t>
            </w:r>
          </w:p>
        </w:tc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۱۰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۵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بسته‌بندی و برچسب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۱۰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۶</w:t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شرایط پرداخت و اعتبار</w:t>
            </w:r>
          </w:p>
        </w:tc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۱۰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۷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پاسخگویی و رسیدگی به شکایت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۵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25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جمع امتیاز</w:t>
            </w:r>
          </w:p>
        </w:tc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۱۰۰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272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2268"/>
        <w:gridCol w:w="7597"/>
      </w:tblGrid>
      <w:tr>
        <w:trPr>
          <w:trHeight w:val="510"/>
          <w:cantSplit/>
          <w:tblHeader/>
        </w:trPr>
        <w:tc>
          <w:tcPr>
            <w:tcW w:type="dxa" w:w="226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نتیجه</w:t>
            </w:r>
          </w:p>
        </w:tc>
        <w:tc>
          <w:tcPr>
            <w:tcW w:type="dxa" w:w="7597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شرح</w:t>
            </w:r>
          </w:p>
        </w:tc>
      </w:tr>
      <w:tr>
        <w:trPr>
          <w:trHeight w:val="510"/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رده نهایی</w:t>
            </w:r>
          </w:p>
        </w:tc>
        <w:tc>
          <w:tcPr>
            <w:tcW w:type="dxa" w:w="759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 A — برتر     ☐ B — معتبر     ☐ C — مشروط     ☐ D — رد</w:t>
            </w:r>
          </w:p>
        </w:tc>
      </w:tr>
      <w:tr>
        <w:trPr>
          <w:trHeight w:val="510"/>
          <w:cantSplit/>
        </w:trPr>
        <w:tc>
          <w:tcPr>
            <w:tcW w:type="dxa" w:w="226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نقاط ضعف و اقدام لازم</w:t>
            </w:r>
          </w:p>
        </w:tc>
        <w:tc>
          <w:tcPr>
            <w:tcW w:type="dxa" w:w="759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247"/>
          <w:cantSplit/>
          <w:tblHeader/>
        </w:trPr>
        <w:tc>
          <w:tcPr>
            <w:tcW w:type="dxa" w:w="2466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ارزیاب: واحد بازرگانی</w:t>
            </w:r>
          </w:p>
        </w:tc>
        <w:tc>
          <w:tcPr>
            <w:tcW w:type="dxa" w:w="2466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کنترل کیفیت</w:t>
            </w:r>
          </w:p>
        </w:tc>
        <w:tc>
          <w:tcPr>
            <w:tcW w:type="dxa" w:w="2466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واحد مالی</w:t>
            </w:r>
          </w:p>
        </w:tc>
        <w:tc>
          <w:tcPr>
            <w:tcW w:type="dxa" w:w="2466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تأیید: مدیرعامل</w:t>
            </w:r>
          </w:p>
        </w:tc>
      </w:tr>
      <w:tr>
        <w:trPr>
          <w:trHeight w:val="1247"/>
          <w:cantSplit/>
        </w:trPr>
        <w:tc>
          <w:tcPr>
            <w:tcW w:type="dxa" w:w="2466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  <w:tc>
          <w:tcPr>
            <w:tcW w:type="dxa" w:w="2466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  <w:tc>
          <w:tcPr>
            <w:tcW w:type="dxa" w:w="2466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  <w:tc>
          <w:tcPr>
            <w:tcW w:type="dxa" w:w="2466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۶. فهرست تأمین‌کنندگان معتبر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فهرست پس از هر ارزیابی به‌روز می‌شود و خرید خارجی فقط از تأمین‌کنندگان رده A و B (و C با شرط بازرسی کامل) مجاز است.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567"/>
        <w:gridCol w:w="2948"/>
        <w:gridCol w:w="1247"/>
        <w:gridCol w:w="1361"/>
        <w:gridCol w:w="1701"/>
        <w:gridCol w:w="1020"/>
        <w:gridCol w:w="1020"/>
      </w:tblGrid>
      <w:tr>
        <w:trPr>
          <w:trHeight w:val="454"/>
          <w:cantSplit/>
          <w:tblHeader/>
        </w:trPr>
        <w:tc>
          <w:tcPr>
            <w:tcW w:type="dxa" w:w="567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ردیف</w:t>
            </w:r>
          </w:p>
        </w:tc>
        <w:tc>
          <w:tcPr>
            <w:tcW w:type="dxa" w:w="294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نام تأمین‌کننده</w:t>
            </w:r>
          </w:p>
        </w:tc>
        <w:tc>
          <w:tcPr>
            <w:tcW w:type="dxa" w:w="1247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کشور</w:t>
            </w:r>
          </w:p>
        </w:tc>
        <w:tc>
          <w:tcPr>
            <w:tcW w:type="dxa" w:w="136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کالا/خدمت</w:t>
            </w:r>
          </w:p>
        </w:tc>
        <w:tc>
          <w:tcPr>
            <w:tcW w:type="dxa" w:w="170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تاریخ آخرین ارزیابی</w:t>
            </w:r>
          </w:p>
        </w:tc>
        <w:tc>
          <w:tcPr>
            <w:tcW w:type="dxa" w:w="1020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امتیاز</w:t>
            </w:r>
          </w:p>
        </w:tc>
        <w:tc>
          <w:tcPr>
            <w:tcW w:type="dxa" w:w="1020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رده</w:t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۲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۳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۴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۵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۶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۷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۸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۹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۱۰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۱۱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۱۲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۱۳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۱۴</w:t>
            </w:r>
          </w:p>
        </w:tc>
        <w:tc>
          <w:tcPr>
            <w:tcW w:type="dxa" w:w="294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54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۱۵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after="0" w:before="0" w:line="288" w:lineRule="auto"/>
      <w:jc w:val="center"/>
    </w:pPr>
    <w:r>
      <w:rPr>
        <w:rFonts w:ascii="B Nazanin" w:hAnsi="B Nazanin" w:cs="B Nazanin" w:eastAsia="B Nazanin"/>
        <w:b w:val="0"/>
        <w:sz w:val="18"/>
        <w:szCs w:val="18"/>
        <w:color w:val="777777"/>
        <w:rtl/>
      </w:rPr>
      <w:t xml:space="preserve">کد مدرک: FR-122-A   |   </w:t>
    </w:r>
    <w:r>
      <w:rPr>
        <w:rFonts w:ascii="B Nazanin" w:hAnsi="B Nazanin" w:cs="B Nazanin" w:eastAsia="B Nazanin"/>
        <w:sz w:val="18"/>
        <w:szCs w:val="18"/>
        <w:color w:val="777777"/>
        <w:rtl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bidiVisual/>
      <w:tblBorders>
        <w:top w:val="single" w:sz="6" w:space="0" w:color="2E7D4F"/>
        <w:left w:val="single" w:sz="6" w:space="0" w:color="2E7D4F"/>
        <w:bottom w:val="single" w:sz="6" w:space="0" w:color="2E7D4F"/>
        <w:right w:val="single" w:sz="6" w:space="0" w:color="2E7D4F"/>
        <w:insideH w:val="single" w:sz="6" w:space="0" w:color="2E7D4F"/>
        <w:insideV w:val="single" w:sz="6" w:space="0" w:color="2E7D4F"/>
      </w:tblBorders>
      <w:tblLayout w:type="fixed"/>
      <w:tblCellMar>
        <w:top w:w="50" w:type="dxa"/>
        <w:bottom w:w="50" w:type="dxa"/>
        <w:left w:w="100" w:type="dxa"/>
        <w:right w:w="100" w:type="dxa"/>
      </w:tblCellMar>
      <w:tblLayout w:type="fixed"/>
    </w:tblPr>
    <w:tblGrid>
      <w:gridCol w:w="3175"/>
      <w:gridCol w:w="3742"/>
      <w:gridCol w:w="2948"/>
    </w:tblGrid>
    <w:tr>
      <w:tc>
        <w:tcPr>
          <w:tcW w:type="dxa" w:w="3175"/>
          <w:vAlign w:val="center"/>
        </w:tcPr>
        <w:p>
          <w:pPr>
            <w:bidi/>
            <w:spacing w:after="0" w:before="0" w:line="288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59213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213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after="0" w:before="0" w:line="288" w:lineRule="auto"/>
            <w:jc w:val="center"/>
          </w:pPr>
          <w:r>
            <w:rPr>
              <w:rFonts w:ascii="B Nazanin" w:hAnsi="B Nazanin" w:cs="B Nazanin" w:eastAsia="B Nazanin"/>
              <w:b/>
              <w:bCs/>
              <w:sz w:val="21"/>
              <w:szCs w:val="21"/>
              <w:color w:val="1F5132"/>
              <w:rtl/>
            </w:rPr>
            <w:t>شرکت بردیا تجارت ماندگار</w:t>
          </w:r>
        </w:p>
      </w:tc>
      <w:tc>
        <w:tcPr>
          <w:tcW w:type="dxa" w:w="3742"/>
          <w:vAlign w:val="center"/>
        </w:tcPr>
        <w:p>
          <w:pPr>
            <w:bidi/>
            <w:spacing w:after="0" w:before="0" w:line="288" w:lineRule="auto"/>
            <w:jc w:val="center"/>
          </w:pPr>
          <w:r>
            <w:rPr>
              <w:rFonts w:ascii="B Nazanin" w:hAnsi="B Nazanin" w:cs="B Nazanin" w:eastAsia="B Nazanin"/>
              <w:b/>
              <w:bCs/>
              <w:sz w:val="28"/>
              <w:szCs w:val="28"/>
              <w:color w:val="1F5132"/>
              <w:rtl/>
            </w:rPr>
            <w:t>ارزیابی تأمین‌کنندگان</w:t>
          </w:r>
        </w:p>
      </w:tc>
      <w:tc>
        <w:tcPr>
          <w:tcW w:type="dxa" w:w="2948"/>
          <w:vAlign w:val="center"/>
        </w:tcPr>
        <w:p>
          <w:pPr>
            <w:bidi/>
            <w:spacing w:after="0" w:before="0" w:line="264" w:lineRule="auto"/>
          </w:pPr>
          <w:r>
            <w:rPr>
              <w:rFonts w:ascii="B Nazanin" w:hAnsi="B Nazanin" w:cs="B Nazanin" w:eastAsia="B Nazanin"/>
              <w:b/>
              <w:bCs/>
              <w:sz w:val="20"/>
              <w:szCs w:val="20"/>
              <w:color w:val="2E7D4F"/>
              <w:rtl/>
            </w:rPr>
            <w:t xml:space="preserve">کد مدرک: </w:t>
          </w:r>
          <w:r>
            <w:rPr>
              <w:rFonts w:ascii="B Nazanin" w:hAnsi="B Nazanin" w:cs="B Nazanin" w:eastAsia="B Nazanin"/>
              <w:b w:val="0"/>
              <w:sz w:val="20"/>
              <w:szCs w:val="20"/>
              <w:rtl/>
            </w:rPr>
            <w:t>FR-122-A</w:t>
          </w:r>
        </w:p>
        <w:p>
          <w:pPr>
            <w:bidi/>
            <w:spacing w:after="0" w:before="0" w:line="264" w:lineRule="auto"/>
          </w:pPr>
          <w:r>
            <w:rPr>
              <w:rFonts w:ascii="B Nazanin" w:hAnsi="B Nazanin" w:cs="B Nazanin" w:eastAsia="B Nazanin"/>
              <w:b/>
              <w:bCs/>
              <w:sz w:val="20"/>
              <w:szCs w:val="20"/>
              <w:color w:val="2E7D4F"/>
              <w:rtl/>
            </w:rPr>
            <w:t xml:space="preserve">تاریخ تهیه: </w:t>
          </w:r>
          <w:r>
            <w:rPr>
              <w:rFonts w:ascii="B Nazanin" w:hAnsi="B Nazanin" w:cs="B Nazanin" w:eastAsia="B Nazanin"/>
              <w:b w:val="0"/>
              <w:sz w:val="20"/>
              <w:szCs w:val="20"/>
              <w:rtl/>
            </w:rPr>
            <w:t>۱۴۰۵/۰۸/۱۰</w:t>
          </w:r>
        </w:p>
        <w:p>
          <w:pPr>
            <w:bidi/>
            <w:spacing w:after="0" w:before="0" w:line="264" w:lineRule="auto"/>
          </w:pPr>
          <w:r>
            <w:rPr>
              <w:rFonts w:ascii="B Nazanin" w:hAnsi="B Nazanin" w:cs="B Nazanin" w:eastAsia="B Nazanin"/>
              <w:b/>
              <w:bCs/>
              <w:sz w:val="20"/>
              <w:szCs w:val="20"/>
              <w:color w:val="2E7D4F"/>
              <w:rtl/>
            </w:rPr>
            <w:t xml:space="preserve">شماره بازنگری: </w:t>
          </w:r>
          <w:r>
            <w:rPr>
              <w:rFonts w:ascii="B Nazanin" w:hAnsi="B Nazanin" w:cs="B Nazanin" w:eastAsia="B Nazanin"/>
              <w:b w:val="0"/>
              <w:sz w:val="20"/>
              <w:szCs w:val="20"/>
              <w:rtl/>
            </w:rPr>
            <w:t>۰۰</w:t>
          </w:r>
        </w:p>
      </w:tc>
    </w:tr>
  </w:tbl>
  <w:p>
    <w:pPr>
      <w:pStyle w:val="Header"/>
      <w:bidi/>
      <w:spacing w:after="0" w:before="0" w:line="288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 w:eastAsia="B Nazani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