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jc w:val="center"/>
      </w:pPr>
      <w:r>
        <w:rPr>
          <w:i/>
          <w:sz w:val="28"/>
        </w:rPr>
        <w:t>Geotab OEM Connector Integration Platform</w:t>
      </w:r>
    </w:p>
    <w:p>
      <w:r>
        <w:rPr>
          <w:b/>
        </w:rPr>
        <w:t xml:space="preserve">Date: </w:t>
      </w:r>
      <w:r>
        <w:t>May 05, 2026</w:t>
      </w:r>
      <w:r>
        <w:rPr>
          <w:b/>
        </w:rPr>
        <w:br/>
        <w:t xml:space="preserve">Version: </w:t>
      </w:r>
      <w:r>
        <w:t>1.0</w:t>
      </w:r>
      <w:r>
        <w:rPr>
          <w:b/>
        </w:rPr>
        <w:br/>
        <w:t xml:space="preserve">Status: </w:t>
      </w:r>
      <w:r>
        <w:t>Draft</w:t>
      </w:r>
    </w:p>
    <w:p/>
    <w:p>
      <w:pPr>
        <w:pStyle w:val="Heading1"/>
      </w:pPr>
      <w:r>
        <w:t>1. Executive Summary</w:t>
      </w:r>
    </w:p>
    <w:p>
      <w:r>
        <w:t>The OEM Connector Integration Platform aims to streamline vehicle telematics data collection and integration across multiple Original Equipment Manufacturers (OEMs). This platform will enable Geotab to expand market reach, reduce integration time-to-value, and enhance customer data accessibility while maintaining security and compliance standards.</w:t>
      </w:r>
    </w:p>
    <w:p>
      <w:pPr>
        <w:pStyle w:val="Heading1"/>
      </w:pPr>
      <w:r>
        <w:t>2. Problem Statement</w:t>
      </w:r>
    </w:p>
    <w:p>
      <w:pPr>
        <w:pStyle w:val="Heading2"/>
      </w:pPr>
      <w:r>
        <w:t>2.1 Current Challenges</w:t>
      </w:r>
    </w:p>
    <w:p>
      <w:pPr>
        <w:pStyle w:val="ListBullet"/>
      </w:pPr>
      <w:r>
        <w:t>Time-intensive OEM integration processes limit our ability to onboard new manufacturers quickly</w:t>
      </w:r>
    </w:p>
    <w:p>
      <w:pPr>
        <w:pStyle w:val="ListBullet"/>
      </w:pPr>
      <w:r>
        <w:t>Disparate data formats and APIs across OEMs create maintenance overhead and increase error risk</w:t>
      </w:r>
    </w:p>
    <w:p>
      <w:pPr>
        <w:pStyle w:val="ListBullet"/>
      </w:pPr>
      <w:r>
        <w:t>Customers lack unified visibility into vehicle data from multiple OEM sources</w:t>
      </w:r>
    </w:p>
    <w:p>
      <w:pPr>
        <w:pStyle w:val="ListBullet"/>
      </w:pPr>
      <w:r>
        <w:t>Integration failures impact customer satisfaction and increase support costs</w:t>
      </w:r>
    </w:p>
    <w:p>
      <w:pPr>
        <w:pStyle w:val="Heading2"/>
      </w:pPr>
      <w:r>
        <w:t>2.2 Market Opportunity</w:t>
      </w:r>
    </w:p>
    <w:p>
      <w:r>
        <w:t>The fleet management market is rapidly consolidating around unified telematics platforms. OEMs are increasingly opening APIs to enable third-party integrations. Organizations that can rapidly integrate new OEM data sources will capture greater market share and improve customer retention.</w:t>
      </w:r>
    </w:p>
    <w:p>
      <w:pPr>
        <w:pStyle w:val="Heading1"/>
      </w:pPr>
      <w:r>
        <w:t>3. Goals and Objectives</w:t>
      </w:r>
    </w:p>
    <w:p>
      <w:pPr>
        <w:pStyle w:val="ListBullet"/>
      </w:pPr>
      <w:r>
        <w:rPr>
          <w:b/>
        </w:rPr>
        <w:t xml:space="preserve">Reduce OEM Integration Time: </w:t>
      </w:r>
      <w:r>
        <w:t>Decrease time-to-market for new OEM connectors from 6+ months to 3 months</w:t>
      </w:r>
    </w:p>
    <w:p>
      <w:pPr>
        <w:pStyle w:val="ListBullet"/>
      </w:pPr>
      <w:r>
        <w:rPr>
          <w:b/>
        </w:rPr>
        <w:t xml:space="preserve">Increase Data Coverage: </w:t>
      </w:r>
      <w:r>
        <w:t>Expand from current OEM coverage to support 10+ new manufacturer integrations</w:t>
      </w:r>
    </w:p>
    <w:p>
      <w:pPr>
        <w:pStyle w:val="ListBullet"/>
      </w:pPr>
      <w:r>
        <w:rPr>
          <w:b/>
        </w:rPr>
        <w:t xml:space="preserve">Improve Data Quality: </w:t>
      </w:r>
      <w:r>
        <w:t>Achieve 99.9% data accuracy and uptime for all OEM connectors</w:t>
      </w:r>
    </w:p>
    <w:p>
      <w:pPr>
        <w:pStyle w:val="ListBullet"/>
      </w:pPr>
      <w:r>
        <w:rPr>
          <w:b/>
        </w:rPr>
        <w:t xml:space="preserve">Enhance User Experience: </w:t>
      </w:r>
      <w:r>
        <w:t>Provide customers with a unified dashboard for multi-OEM fleet visibility</w:t>
      </w:r>
    </w:p>
    <w:p>
      <w:pPr>
        <w:pStyle w:val="ListBullet"/>
      </w:pPr>
      <w:r>
        <w:rPr>
          <w:b/>
        </w:rPr>
        <w:t xml:space="preserve">Strengthen Compliance: </w:t>
      </w:r>
      <w:r>
        <w:t>Ensure all integrations meet GDPR, CCPA, and industry-specific regulations</w:t>
      </w:r>
    </w:p>
    <w:p>
      <w:pPr>
        <w:pStyle w:val="Heading1"/>
      </w:pPr>
      <w:r>
        <w:t>4. Target Users and Personas</w:t>
      </w:r>
    </w:p>
    <w:p>
      <w:pPr>
        <w:pStyle w:val="Heading2"/>
      </w:pPr>
      <w:r>
        <w:t>4.1 Primary Users</w:t>
      </w:r>
    </w:p>
    <w:p>
      <w:pPr>
        <w:pStyle w:val="ListBullet"/>
      </w:pPr>
      <w:r>
        <w:rPr>
          <w:b/>
        </w:rPr>
        <w:t xml:space="preserve">Fleet Managers: </w:t>
      </w:r>
      <w:r>
        <w:t>Need real-time visibility into vehicle performance across multiple brands</w:t>
      </w:r>
    </w:p>
    <w:p>
      <w:pPr>
        <w:pStyle w:val="ListBullet"/>
      </w:pPr>
      <w:r>
        <w:rPr>
          <w:b/>
        </w:rPr>
        <w:t xml:space="preserve">Operations Teams: </w:t>
      </w:r>
      <w:r>
        <w:t>Require automated data pipelines and alerting across diverse OEM sources</w:t>
      </w:r>
    </w:p>
    <w:p>
      <w:pPr>
        <w:pStyle w:val="ListBullet"/>
      </w:pPr>
      <w:r>
        <w:rPr>
          <w:b/>
        </w:rPr>
        <w:t xml:space="preserve">API Consumers: </w:t>
      </w:r>
      <w:r>
        <w:t>Demand standardized data schemas and REST endpoints</w:t>
      </w:r>
    </w:p>
    <w:p>
      <w:pPr>
        <w:pStyle w:val="Heading1"/>
      </w:pPr>
      <w:r>
        <w:t>5. Success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Integration Time</w:t>
            </w:r>
          </w:p>
        </w:tc>
        <w:tc>
          <w:tcPr>
            <w:tcW w:type="dxa" w:w="4320"/>
          </w:tcPr>
          <w:p>
            <w:r>
              <w:t>&lt; 3 months per new OEM connector</w:t>
            </w:r>
          </w:p>
        </w:tc>
      </w:tr>
      <w:tr>
        <w:tc>
          <w:tcPr>
            <w:tcW w:type="dxa" w:w="4320"/>
          </w:tcPr>
          <w:p>
            <w:r>
              <w:t>Data Availability</w:t>
            </w:r>
          </w:p>
        </w:tc>
        <w:tc>
          <w:tcPr>
            <w:tcW w:type="dxa" w:w="4320"/>
          </w:tcPr>
          <w:p>
            <w:r>
              <w:t>99.9% uptime SLA</w:t>
            </w:r>
          </w:p>
        </w:tc>
      </w:tr>
      <w:tr>
        <w:tc>
          <w:tcPr>
            <w:tcW w:type="dxa" w:w="4320"/>
          </w:tcPr>
          <w:p>
            <w:r>
              <w:t>Customer Adoption</w:t>
            </w:r>
          </w:p>
        </w:tc>
        <w:tc>
          <w:tcPr>
            <w:tcW w:type="dxa" w:w="4320"/>
          </w:tcPr>
          <w:p>
            <w:r>
              <w:t>80% of enterprise customers using multi-OEM connectors</w:t>
            </w:r>
          </w:p>
        </w:tc>
      </w:tr>
      <w:tr>
        <w:tc>
          <w:tcPr>
            <w:tcW w:type="dxa" w:w="4320"/>
          </w:tcPr>
          <w:p>
            <w:r>
              <w:t>Support Tickets</w:t>
            </w:r>
          </w:p>
        </w:tc>
        <w:tc>
          <w:tcPr>
            <w:tcW w:type="dxa" w:w="4320"/>
          </w:tcPr>
          <w:p>
            <w:r>
              <w:t>30% reduction in integration-related support issues</w:t>
            </w:r>
          </w:p>
        </w:tc>
      </w:tr>
      <w:tr>
        <w:tc>
          <w:tcPr>
            <w:tcW w:type="dxa" w:w="4320"/>
          </w:tcPr>
          <w:p>
            <w:r>
              <w:t>API Performance</w:t>
            </w:r>
          </w:p>
        </w:tc>
        <w:tc>
          <w:tcPr>
            <w:tcW w:type="dxa" w:w="4320"/>
          </w:tcPr>
          <w:p>
            <w:r>
              <w:t>&lt; 200ms median latency for data queries</w:t>
            </w:r>
          </w:p>
        </w:tc>
      </w:tr>
    </w:tbl>
    <w:p>
      <w:pPr>
        <w:pStyle w:val="Heading1"/>
      </w:pPr>
      <w:r>
        <w:t>6. Functional Requirements</w:t>
      </w:r>
    </w:p>
    <w:p>
      <w:pPr>
        <w:pStyle w:val="Heading2"/>
      </w:pPr>
      <w:r>
        <w:t>6.1 Connector Framework</w:t>
      </w:r>
    </w:p>
    <w:p>
      <w:pPr>
        <w:pStyle w:val="ListBullet"/>
      </w:pPr>
      <w:r>
        <w:t>Standardized connector architecture supporting OAuth 2.0 and API key authentication</w:t>
      </w:r>
    </w:p>
    <w:p>
      <w:pPr>
        <w:pStyle w:val="ListBullet"/>
      </w:pPr>
      <w:r>
        <w:t>Automated data transformation engine converting OEM formats to Geotab schema</w:t>
      </w:r>
    </w:p>
    <w:p>
      <w:pPr>
        <w:pStyle w:val="ListBullet"/>
      </w:pPr>
      <w:r>
        <w:t>Real-time and batch ingestion capabilities with configurable sync intervals</w:t>
      </w:r>
    </w:p>
    <w:p>
      <w:pPr>
        <w:pStyle w:val="ListBullet"/>
      </w:pPr>
      <w:r>
        <w:t>Connector versioning and backward compatibility management</w:t>
      </w:r>
    </w:p>
    <w:p>
      <w:pPr>
        <w:pStyle w:val="Heading2"/>
      </w:pPr>
      <w:r>
        <w:t>6.2 Data Management</w:t>
      </w:r>
    </w:p>
    <w:p>
      <w:pPr>
        <w:pStyle w:val="ListBullet"/>
      </w:pPr>
      <w:r>
        <w:t>Unified vehicle data model consolidating information from multiple OEMs</w:t>
      </w:r>
    </w:p>
    <w:p>
      <w:pPr>
        <w:pStyle w:val="ListBullet"/>
      </w:pPr>
      <w:r>
        <w:t>Data validation and reconciliation workflows</w:t>
      </w:r>
    </w:p>
    <w:p>
      <w:pPr>
        <w:pStyle w:val="ListBullet"/>
      </w:pPr>
      <w:r>
        <w:t>Historical data retention with configurable archival policies</w:t>
      </w:r>
    </w:p>
    <w:p>
      <w:pPr>
        <w:pStyle w:val="ListBullet"/>
      </w:pPr>
      <w:r>
        <w:t>Audit logging for compliance and troubleshooting</w:t>
      </w:r>
    </w:p>
    <w:p>
      <w:pPr>
        <w:pStyle w:val="Heading2"/>
      </w:pPr>
      <w:r>
        <w:t>6.3 API and Integration</w:t>
      </w:r>
    </w:p>
    <w:p>
      <w:pPr>
        <w:pStyle w:val="ListBullet"/>
      </w:pPr>
      <w:r>
        <w:t>RESTful API with standardized endpoints for multi-OEM data queries</w:t>
      </w:r>
    </w:p>
    <w:p>
      <w:pPr>
        <w:pStyle w:val="ListBullet"/>
      </w:pPr>
      <w:r>
        <w:t>GraphQL interface for complex data aggregation scenarios</w:t>
      </w:r>
    </w:p>
    <w:p>
      <w:pPr>
        <w:pStyle w:val="ListBullet"/>
      </w:pPr>
      <w:r>
        <w:t>Webhook support for real-time event notifications</w:t>
      </w:r>
    </w:p>
    <w:p>
      <w:pPr>
        <w:pStyle w:val="ListBullet"/>
      </w:pPr>
      <w:r>
        <w:t>SDK libraries for popular programming languages (Python, Java, Node.js)</w:t>
      </w:r>
    </w:p>
    <w:p>
      <w:pPr>
        <w:pStyle w:val="Heading1"/>
      </w:pPr>
      <w:r>
        <w:t>7.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Specification</w:t>
            </w:r>
          </w:p>
        </w:tc>
      </w:tr>
      <w:tr>
        <w:tc>
          <w:tcPr>
            <w:tcW w:type="dxa" w:w="4320"/>
          </w:tcPr>
          <w:p>
            <w:r>
              <w:t>Performance</w:t>
            </w:r>
          </w:p>
        </w:tc>
        <w:tc>
          <w:tcPr>
            <w:tcW w:type="dxa" w:w="4320"/>
          </w:tcPr>
          <w:p>
            <w:r>
              <w:t>API response time &lt; 200ms (p95), support 10k+ req/min</w:t>
            </w:r>
          </w:p>
        </w:tc>
      </w:tr>
      <w:tr>
        <w:tc>
          <w:tcPr>
            <w:tcW w:type="dxa" w:w="4320"/>
          </w:tcPr>
          <w:p>
            <w:r>
              <w:t>Reliability</w:t>
            </w:r>
          </w:p>
        </w:tc>
        <w:tc>
          <w:tcPr>
            <w:tcW w:type="dxa" w:w="4320"/>
          </w:tcPr>
          <w:p>
            <w:r>
              <w:t>99.9% uptime SLA with automatic failover</w:t>
            </w:r>
          </w:p>
        </w:tc>
      </w:tr>
      <w:tr>
        <w:tc>
          <w:tcPr>
            <w:tcW w:type="dxa" w:w="4320"/>
          </w:tcPr>
          <w:p>
            <w:r>
              <w:t>Security</w:t>
            </w:r>
          </w:p>
        </w:tc>
        <w:tc>
          <w:tcPr>
            <w:tcW w:type="dxa" w:w="4320"/>
          </w:tcPr>
          <w:p>
            <w:r>
              <w:t>End-to-end encryption, role-based access control, regular security audits</w:t>
            </w:r>
          </w:p>
        </w:tc>
      </w:tr>
      <w:tr>
        <w:tc>
          <w:tcPr>
            <w:tcW w:type="dxa" w:w="4320"/>
          </w:tcPr>
          <w:p>
            <w:r>
              <w:t>Scalability</w:t>
            </w:r>
          </w:p>
        </w:tc>
        <w:tc>
          <w:tcPr>
            <w:tcW w:type="dxa" w:w="4320"/>
          </w:tcPr>
          <w:p>
            <w:r>
              <w:t>Horizontal scaling to support 100M+ vehicles</w:t>
            </w:r>
          </w:p>
        </w:tc>
      </w:tr>
      <w:tr>
        <w:tc>
          <w:tcPr>
            <w:tcW w:type="dxa" w:w="4320"/>
          </w:tcPr>
          <w:p>
            <w:r>
              <w:t>Maintainability</w:t>
            </w:r>
          </w:p>
        </w:tc>
        <w:tc>
          <w:tcPr>
            <w:tcW w:type="dxa" w:w="4320"/>
          </w:tcPr>
          <w:p>
            <w:r>
              <w:t>Automated testing, CI/CD pipeline, comprehensive documentation</w:t>
            </w:r>
          </w:p>
        </w:tc>
      </w:tr>
    </w:tbl>
    <w:p>
      <w:pPr>
        <w:pStyle w:val="Heading1"/>
      </w:pPr>
      <w:r>
        <w:t>8. Use Cases</w:t>
      </w:r>
    </w:p>
    <w:p>
      <w:pPr>
        <w:pStyle w:val="ListBullet"/>
      </w:pPr>
      <w:r>
        <w:rPr>
          <w:b/>
        </w:rPr>
        <w:t>UC-1: Multi-OEM Fleet Dashboard</w:t>
        <w:br/>
      </w:r>
      <w:r>
        <w:t>A fleet manager views vehicle diagnostics and location data from Tesla, Ford, and GM vehicles in a unified dashboard</w:t>
      </w:r>
    </w:p>
    <w:p>
      <w:pPr>
        <w:pStyle w:val="ListBullet"/>
      </w:pPr>
      <w:r>
        <w:rPr>
          <w:b/>
        </w:rPr>
        <w:t>UC-2: Automated Compliance Reporting</w:t>
        <w:br/>
      </w:r>
      <w:r>
        <w:t>Operations team receives weekly reports aggregating emissions and maintenance data across all OEM sources</w:t>
      </w:r>
    </w:p>
    <w:p>
      <w:pPr>
        <w:pStyle w:val="ListBullet"/>
      </w:pPr>
      <w:r>
        <w:rPr>
          <w:b/>
        </w:rPr>
        <w:t>UC-3: Proactive Maintenance Alerts</w:t>
        <w:br/>
      </w:r>
      <w:r>
        <w:t>System automatically detects maintenance issues across OEM diagnostics and alerts operators before failures occur</w:t>
      </w:r>
    </w:p>
    <w:p>
      <w:pPr>
        <w:pStyle w:val="ListBullet"/>
      </w:pPr>
      <w:r>
        <w:rPr>
          <w:b/>
        </w:rPr>
        <w:t>UC-4: Custom Data Export</w:t>
        <w:br/>
      </w:r>
      <w:r>
        <w:t>API consumer retrieves normalized vehicle data for 10k+ vehicles from 5 different OEMs for custom analytics</w:t>
      </w:r>
    </w:p>
    <w:p>
      <w:pPr>
        <w:pStyle w:val="Heading1"/>
      </w:pPr>
      <w:r>
        <w:t>9. Dependencies and Constraints</w:t>
      </w:r>
    </w:p>
    <w:p>
      <w:pPr>
        <w:pStyle w:val="Heading2"/>
      </w:pPr>
      <w:r>
        <w:t>9.1 Technical Dependencies</w:t>
      </w:r>
    </w:p>
    <w:p>
      <w:pPr>
        <w:pStyle w:val="ListBullet"/>
      </w:pPr>
      <w:r>
        <w:t>OEM API availability and stability</w:t>
      </w:r>
    </w:p>
    <w:p>
      <w:pPr>
        <w:pStyle w:val="ListBullet"/>
      </w:pPr>
      <w:r>
        <w:t>Third-party authentication providers (OAuth providers)</w:t>
      </w:r>
    </w:p>
    <w:p>
      <w:pPr>
        <w:pStyle w:val="ListBullet"/>
      </w:pPr>
      <w:r>
        <w:t>Cloud infrastructure scaling capabilities</w:t>
      </w:r>
    </w:p>
    <w:p>
      <w:pPr>
        <w:pStyle w:val="Heading2"/>
      </w:pPr>
      <w:r>
        <w:t>9.2 Constraints</w:t>
      </w:r>
    </w:p>
    <w:p>
      <w:pPr>
        <w:pStyle w:val="ListBullet"/>
      </w:pPr>
      <w:r>
        <w:t>OEM API rate limits and quota restrictions</w:t>
      </w:r>
    </w:p>
    <w:p>
      <w:pPr>
        <w:pStyle w:val="ListBullet"/>
      </w:pPr>
      <w:r>
        <w:t>Regulatory compliance requirements (GDPR, CCPA, data residency)</w:t>
      </w:r>
    </w:p>
    <w:p>
      <w:pPr>
        <w:pStyle w:val="ListBullet"/>
      </w:pPr>
      <w:r>
        <w:t>Legacy system integration complexity</w:t>
      </w:r>
    </w:p>
    <w:p>
      <w:pPr>
        <w:pStyle w:val="ListBullet"/>
      </w:pPr>
      <w:r>
        <w:t>Resource allocation and timeline constraints</w:t>
      </w:r>
    </w:p>
    <w:p>
      <w:pPr>
        <w:pStyle w:val="Heading1"/>
      </w:pPr>
      <w:r>
        <w:t>10. Timeline and Milestones</w:t>
      </w:r>
    </w:p>
    <w:tbl>
      <w:tblPr>
        <w:tblStyle w:val="LightGrid-Accent1"/>
        <w:tblW w:type="auto" w:w="0"/>
        <w:tblLook w:firstColumn="1" w:firstRow="1" w:lastColumn="0" w:lastRow="0" w:noHBand="0" w:noVBand="1" w:val="04A0"/>
      </w:tblPr>
      <w:tblGrid>
        <w:gridCol w:w="4320"/>
        <w:gridCol w:w="4320"/>
      </w:tblGrid>
      <w:tr>
        <w:tc>
          <w:tcPr>
            <w:tcW w:type="dxa" w:w="4320"/>
          </w:tcPr>
          <w:p>
            <w:r>
              <w:t>Timeline</w:t>
            </w:r>
          </w:p>
        </w:tc>
        <w:tc>
          <w:tcPr>
            <w:tcW w:type="dxa" w:w="4320"/>
          </w:tcPr>
          <w:p>
            <w:r>
              <w:t>Deliverables</w:t>
            </w:r>
          </w:p>
        </w:tc>
      </w:tr>
      <w:tr>
        <w:tc>
          <w:tcPr>
            <w:tcW w:type="dxa" w:w="4320"/>
          </w:tcPr>
          <w:p>
            <w:r>
              <w:t>Q2 2026</w:t>
            </w:r>
          </w:p>
        </w:tc>
        <w:tc>
          <w:tcPr>
            <w:tcW w:type="dxa" w:w="4320"/>
          </w:tcPr>
          <w:p>
            <w:r>
              <w:t>Architecture design, connector framework development</w:t>
            </w:r>
          </w:p>
        </w:tc>
      </w:tr>
      <w:tr>
        <w:tc>
          <w:tcPr>
            <w:tcW w:type="dxa" w:w="4320"/>
          </w:tcPr>
          <w:p>
            <w:r>
              <w:t>Q3 2026</w:t>
            </w:r>
          </w:p>
        </w:tc>
        <w:tc>
          <w:tcPr>
            <w:tcW w:type="dxa" w:w="4320"/>
          </w:tcPr>
          <w:p>
            <w:r>
              <w:t>Pilot integrations with 3 major OEMs, beta testing</w:t>
            </w:r>
          </w:p>
        </w:tc>
      </w:tr>
      <w:tr>
        <w:tc>
          <w:tcPr>
            <w:tcW w:type="dxa" w:w="4320"/>
          </w:tcPr>
          <w:p>
            <w:r>
              <w:t>Q4 2026</w:t>
            </w:r>
          </w:p>
        </w:tc>
        <w:tc>
          <w:tcPr>
            <w:tcW w:type="dxa" w:w="4320"/>
          </w:tcPr>
          <w:p>
            <w:r>
              <w:t>General availability, 8+ OEM connectors live</w:t>
            </w:r>
          </w:p>
        </w:tc>
      </w:tr>
      <w:tr>
        <w:tc>
          <w:tcPr>
            <w:tcW w:type="dxa" w:w="4320"/>
          </w:tcPr>
          <w:p>
            <w:r>
              <w:t>Q1 2027</w:t>
            </w:r>
          </w:p>
        </w:tc>
        <w:tc>
          <w:tcPr>
            <w:tcW w:type="dxa" w:w="4320"/>
          </w:tcPr>
          <w:p>
            <w:r>
              <w:t>Advanced features (GraphQL, webhooks), performance optimization</w:t>
            </w:r>
          </w:p>
        </w:tc>
      </w:tr>
      <w:tr>
        <w:tc>
          <w:tcPr>
            <w:tcW w:type="dxa" w:w="4320"/>
          </w:tcPr>
          <w:p>
            <w:r>
              <w:t>Q2 2027</w:t>
            </w:r>
          </w:p>
        </w:tc>
        <w:tc>
          <w:tcPr>
            <w:tcW w:type="dxa" w:w="4320"/>
          </w:tcPr>
          <w:p>
            <w:r>
              <w:t>Expansion to 15+ OEM partners, analytics enhancements</w:t>
            </w:r>
          </w:p>
        </w:tc>
      </w:tr>
    </w:tbl>
    <w:p>
      <w:pPr>
        <w:pStyle w:val="Heading1"/>
      </w:pPr>
      <w:r>
        <w:t>11. 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 Strategy</w:t>
            </w:r>
          </w:p>
        </w:tc>
      </w:tr>
      <w:tr>
        <w:tc>
          <w:tcPr>
            <w:tcW w:type="dxa" w:w="4320"/>
          </w:tcPr>
          <w:p>
            <w:r>
              <w:t>OEM API Changes</w:t>
            </w:r>
          </w:p>
        </w:tc>
        <w:tc>
          <w:tcPr>
            <w:tcW w:type="dxa" w:w="4320"/>
          </w:tcPr>
          <w:p>
            <w:r>
              <w:t>Maintain abstraction layer, continuous monitoring, version management</w:t>
            </w:r>
          </w:p>
        </w:tc>
      </w:tr>
      <w:tr>
        <w:tc>
          <w:tcPr>
            <w:tcW w:type="dxa" w:w="4320"/>
          </w:tcPr>
          <w:p>
            <w:r>
              <w:t>Data Security Breach</w:t>
            </w:r>
          </w:p>
        </w:tc>
        <w:tc>
          <w:tcPr>
            <w:tcW w:type="dxa" w:w="4320"/>
          </w:tcPr>
          <w:p>
            <w:r>
              <w:t>Implement encryption, regular audits, incident response plan</w:t>
            </w:r>
          </w:p>
        </w:tc>
      </w:tr>
      <w:tr>
        <w:tc>
          <w:tcPr>
            <w:tcW w:type="dxa" w:w="4320"/>
          </w:tcPr>
          <w:p>
            <w:r>
              <w:t>Integration Delays</w:t>
            </w:r>
          </w:p>
        </w:tc>
        <w:tc>
          <w:tcPr>
            <w:tcW w:type="dxa" w:w="4320"/>
          </w:tcPr>
          <w:p>
            <w:r>
              <w:t>Dedicated OEM partnership team, early engagement, clear SLAs</w:t>
            </w:r>
          </w:p>
        </w:tc>
      </w:tr>
      <w:tr>
        <w:tc>
          <w:tcPr>
            <w:tcW w:type="dxa" w:w="4320"/>
          </w:tcPr>
          <w:p>
            <w:r>
              <w:t>Adoption Challenges</w:t>
            </w:r>
          </w:p>
        </w:tc>
        <w:tc>
          <w:tcPr>
            <w:tcW w:type="dxa" w:w="4320"/>
          </w:tcPr>
          <w:p>
            <w:r>
              <w:t>User training programs, comprehensive documentation, customer support</w:t>
            </w:r>
          </w:p>
        </w:tc>
      </w:tr>
    </w:tbl>
    <w:p>
      <w:pPr>
        <w:pStyle w:val="Heading1"/>
      </w:pPr>
      <w:r>
        <w:t>12. Success Criteria</w:t>
      </w:r>
    </w:p>
    <w:p>
      <w:pPr>
        <w:pStyle w:val="ListBullet"/>
      </w:pPr>
      <w:r>
        <w:t>All functional requirements implemented and tested</w:t>
      </w:r>
    </w:p>
    <w:p>
      <w:pPr>
        <w:pStyle w:val="ListBullet"/>
      </w:pPr>
      <w:r>
        <w:t>Achieved 99.9% uptime during pilot period</w:t>
      </w:r>
    </w:p>
    <w:p>
      <w:pPr>
        <w:pStyle w:val="ListBullet"/>
      </w:pPr>
      <w:r>
        <w:t>Successfully integrated with 8+ OEM APIs</w:t>
      </w:r>
    </w:p>
    <w:p>
      <w:pPr>
        <w:pStyle w:val="ListBullet"/>
      </w:pPr>
      <w:r>
        <w:t>Customer feedback score &gt;= 8/10</w:t>
      </w:r>
    </w:p>
    <w:p>
      <w:pPr>
        <w:pStyle w:val="ListBullet"/>
      </w:pPr>
      <w:r>
        <w:t>Support team can handle integrations with &lt; 1 hour ramp-up</w:t>
      </w:r>
    </w:p>
    <w:p>
      <w:pPr>
        <w:pStyle w:val="ListBullet"/>
      </w:pPr>
      <w:r>
        <w:t>Zero critical security vulnerabilities in security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