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Borders>
              <w:top w:val="none" w:color="FFFFFF" w:sz="0"/>
              <w:left w:val="none" w:color="FFFFFF" w:sz="0"/>
              <w:bottom w:val="none" w:color="FFFFFF" w:sz="0"/>
              <w:right w:val="none" w:color="FFFFFF" w:sz="0"/>
            </w:tcBorders>
            <w:shd w:fill="1A3A5C" w:val="clear"/>
            <w:tcMar>
              <w:top w:type="dxa" w:w="260"/>
              <w:left w:type="dxa" w:w="360"/>
              <w:bottom w:type="dxa" w:w="180"/>
              <w:right w:type="dxa" w:w="360"/>
            </w:tcMar>
          </w:tcPr>
          <w:p>
            <w:r>
              <w:rPr>
                <w:rFonts w:ascii="Calibri" w:cs="Calibri" w:eastAsia="Calibri" w:hAnsi="Calibri"/>
                <w:b/>
                <w:bCs/>
                <w:color w:val="A8C4D8"/>
                <w:sz w:val="18"/>
                <w:szCs w:val="18"/>
              </w:rPr>
              <w:t xml:space="preserve">CFO MANAGEMENT PACK  ·  FY2024</w:t>
            </w:r>
          </w:p>
          <w:p>
            <w:pPr>
              <w:spacing w:before="80" w:after="0"/>
            </w:pPr>
            <w:r>
              <w:rPr>
                <w:rFonts w:ascii="Calibri" w:cs="Calibri" w:eastAsia="Calibri" w:hAnsi="Calibri"/>
                <w:b/>
                <w:bCs/>
                <w:color w:val="FFFFFF"/>
                <w:sz w:val="44"/>
                <w:szCs w:val="44"/>
              </w:rPr>
              <w:t xml:space="preserve">FP&amp;A Budget vs Actual Variance Report</w:t>
            </w:r>
          </w:p>
          <w:p>
            <w:pPr>
              <w:spacing w:before="80" w:after="0"/>
            </w:pPr>
            <w:r>
              <w:rPr>
                <w:rFonts w:ascii="Calibri" w:cs="Calibri" w:eastAsia="Calibri" w:hAnsi="Calibri"/>
                <w:color w:val="A8C4D8"/>
                <w:sz w:val="22"/>
                <w:szCs w:val="22"/>
              </w:rPr>
              <w:t xml:space="preserve">Financial Services Business Unit  ·  Full Year 2024</w:t>
            </w:r>
          </w:p>
          <w:p>
            <w:pPr>
              <w:spacing w:before="40" w:after="0"/>
            </w:pPr>
            <w:r>
              <w:rPr>
                <w:rFonts w:ascii="Calibri" w:cs="Calibri" w:eastAsia="Calibri" w:hAnsi="Calibri"/>
                <w:color w:val="88B0C8"/>
                <w:sz w:val="19"/>
                <w:szCs w:val="19"/>
              </w:rPr>
              <w:t xml:space="preserve">Revenue  |  Costs  |  EBITDA  |  Product Performance  |  Forward Outlook</w:t>
            </w:r>
          </w:p>
        </w:tc>
      </w:tr>
    </w:tbl>
    <w:p>
      <w:pPr>
        <w:spacing w:before="120" w:after="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36"/>
        <w:gridCol w:w="2436"/>
        <w:gridCol w:w="2437"/>
        <w:gridCol w:w="2437"/>
      </w:tblGrid>
      <w:tr>
        <w:tc>
          <w:tcPr>
            <w:tcBorders>
              <w:top w:val="single" w:color="E2E8F0" w:sz="4"/>
              <w:left w:val="single" w:color="E2E8F0" w:sz="4"/>
              <w:bottom w:val="single" w:color="E2E8F0" w:sz="4"/>
              <w:right w:val="single" w:color="E2E8F0" w:sz="4"/>
            </w:tcBorders>
            <w:shd w:fill="E8F5F0" w:val="clear"/>
            <w:tcMar>
              <w:top w:type="dxa" w:w="120"/>
              <w:left w:type="dxa" w:w="160"/>
              <w:bottom w:type="dxa" w:w="120"/>
              <w:right w:type="dxa" w:w="160"/>
            </w:tcMar>
          </w:tcPr>
          <w:p>
            <w:r>
              <w:rPr>
                <w:rFonts w:ascii="Calibri" w:cs="Calibri" w:eastAsia="Calibri" w:hAnsi="Calibri"/>
                <w:b/>
                <w:bCs/>
                <w:color w:val="1A6B4A"/>
                <w:sz w:val="40"/>
                <w:szCs w:val="40"/>
              </w:rPr>
              <w:t xml:space="preserve">A$151,307k</w:t>
            </w:r>
          </w:p>
          <w:p>
            <w:r>
              <w:rPr>
                <w:rFonts w:ascii="Calibri" w:cs="Calibri" w:eastAsia="Calibri" w:hAnsi="Calibri"/>
                <w:b/>
                <w:bCs/>
                <w:color w:val="0F1419"/>
                <w:sz w:val="17"/>
                <w:szCs w:val="17"/>
              </w:rPr>
              <w:t xml:space="preserve">FY Revenue — Actual</w:t>
            </w:r>
          </w:p>
          <w:p>
            <w:r>
              <w:rPr>
                <w:rFonts w:ascii="Calibri" w:cs="Calibri" w:eastAsia="Calibri" w:hAnsi="Calibri"/>
                <w:i/>
                <w:iCs/>
                <w:color w:val="6B7A8D"/>
                <w:sz w:val="16"/>
                <w:szCs w:val="16"/>
              </w:rPr>
              <w:t xml:space="preserve">+1.5% vs budget of A$149,010k</w:t>
            </w:r>
          </w:p>
        </w:tc>
        <w:tc>
          <w:tcPr>
            <w:tcBorders>
              <w:top w:val="single" w:color="E2E8F0" w:sz="4"/>
              <w:left w:val="single" w:color="E2E8F0" w:sz="4"/>
              <w:bottom w:val="single" w:color="E2E8F0" w:sz="4"/>
              <w:right w:val="single" w:color="E2E8F0" w:sz="4"/>
            </w:tcBorders>
            <w:shd w:fill="FDF2F2" w:val="clear"/>
            <w:tcMar>
              <w:top w:type="dxa" w:w="120"/>
              <w:left w:type="dxa" w:w="160"/>
              <w:bottom w:type="dxa" w:w="120"/>
              <w:right w:type="dxa" w:w="160"/>
            </w:tcMar>
          </w:tcPr>
          <w:p>
            <w:r>
              <w:rPr>
                <w:rFonts w:ascii="Calibri" w:cs="Calibri" w:eastAsia="Calibri" w:hAnsi="Calibri"/>
                <w:b/>
                <w:bCs/>
                <w:color w:val="C0392B"/>
                <w:sz w:val="40"/>
                <w:szCs w:val="40"/>
              </w:rPr>
              <w:t xml:space="preserve">A$79,990k</w:t>
            </w:r>
          </w:p>
          <w:p>
            <w:r>
              <w:rPr>
                <w:rFonts w:ascii="Calibri" w:cs="Calibri" w:eastAsia="Calibri" w:hAnsi="Calibri"/>
                <w:b/>
                <w:bCs/>
                <w:color w:val="0F1419"/>
                <w:sz w:val="17"/>
                <w:szCs w:val="17"/>
              </w:rPr>
              <w:t xml:space="preserve">FY Costs — Actual</w:t>
            </w:r>
          </w:p>
          <w:p>
            <w:r>
              <w:rPr>
                <w:rFonts w:ascii="Calibri" w:cs="Calibri" w:eastAsia="Calibri" w:hAnsi="Calibri"/>
                <w:i/>
                <w:iCs/>
                <w:color w:val="6B7A8D"/>
                <w:sz w:val="16"/>
                <w:szCs w:val="16"/>
              </w:rPr>
              <w:t xml:space="preserve">+3.2% over budget of A$77,545k</w:t>
            </w:r>
          </w:p>
        </w:tc>
        <w:tc>
          <w:tcPr>
            <w:tcBorders>
              <w:top w:val="single" w:color="E2E8F0" w:sz="4"/>
              <w:left w:val="single" w:color="E2E8F0" w:sz="4"/>
              <w:bottom w:val="single" w:color="E2E8F0" w:sz="4"/>
              <w:right w:val="single" w:color="E2E8F0" w:sz="4"/>
            </w:tcBorders>
            <w:shd w:fill="FEF9EC" w:val="clear"/>
            <w:tcMar>
              <w:top w:type="dxa" w:w="120"/>
              <w:left w:type="dxa" w:w="160"/>
              <w:bottom w:type="dxa" w:w="120"/>
              <w:right w:type="dxa" w:w="160"/>
            </w:tcMar>
          </w:tcPr>
          <w:p>
            <w:r>
              <w:rPr>
                <w:rFonts w:ascii="Calibri" w:cs="Calibri" w:eastAsia="Calibri" w:hAnsi="Calibri"/>
                <w:b/>
                <w:bCs/>
                <w:color w:val="E07B39"/>
                <w:sz w:val="40"/>
                <w:szCs w:val="40"/>
              </w:rPr>
              <w:t xml:space="preserve">A$71,317k</w:t>
            </w:r>
          </w:p>
          <w:p>
            <w:r>
              <w:rPr>
                <w:rFonts w:ascii="Calibri" w:cs="Calibri" w:eastAsia="Calibri" w:hAnsi="Calibri"/>
                <w:b/>
                <w:bCs/>
                <w:color w:val="0F1419"/>
                <w:sz w:val="17"/>
                <w:szCs w:val="17"/>
              </w:rPr>
              <w:t xml:space="preserve">FY EBITDA — Actual</w:t>
            </w:r>
          </w:p>
          <w:p>
            <w:r>
              <w:rPr>
                <w:rFonts w:ascii="Calibri" w:cs="Calibri" w:eastAsia="Calibri" w:hAnsi="Calibri"/>
                <w:i/>
                <w:iCs/>
                <w:color w:val="6B7A8D"/>
                <w:sz w:val="16"/>
                <w:szCs w:val="16"/>
              </w:rPr>
              <w:t xml:space="preserve">A$-148k vs budget — margin compressed</w:t>
            </w:r>
          </w:p>
        </w:tc>
        <w:tc>
          <w:tcPr>
            <w:tcBorders>
              <w:top w:val="single" w:color="E2E8F0" w:sz="4"/>
              <w:left w:val="single" w:color="E2E8F0" w:sz="4"/>
              <w:bottom w:val="single" w:color="E2E8F0" w:sz="4"/>
              <w:right w:val="single" w:color="E2E8F0" w:sz="4"/>
            </w:tcBorders>
            <w:shd w:fill="FDF2F2" w:val="clear"/>
            <w:tcMar>
              <w:top w:type="dxa" w:w="120"/>
              <w:left w:type="dxa" w:w="160"/>
              <w:bottom w:type="dxa" w:w="120"/>
              <w:right w:type="dxa" w:w="160"/>
            </w:tcMar>
          </w:tcPr>
          <w:p>
            <w:r>
              <w:rPr>
                <w:rFonts w:ascii="Calibri" w:cs="Calibri" w:eastAsia="Calibri" w:hAnsi="Calibri"/>
                <w:b/>
                <w:bCs/>
                <w:color w:val="C0392B"/>
                <w:sz w:val="40"/>
                <w:szCs w:val="40"/>
              </w:rPr>
              <w:t xml:space="preserve">47.1%</w:t>
            </w:r>
          </w:p>
          <w:p>
            <w:r>
              <w:rPr>
                <w:rFonts w:ascii="Calibri" w:cs="Calibri" w:eastAsia="Calibri" w:hAnsi="Calibri"/>
                <w:b/>
                <w:bCs/>
                <w:color w:val="0F1419"/>
                <w:sz w:val="17"/>
                <w:szCs w:val="17"/>
              </w:rPr>
              <w:t xml:space="preserve">EBITDA Margin — Actual</w:t>
            </w:r>
          </w:p>
          <w:p>
            <w:r>
              <w:rPr>
                <w:rFonts w:ascii="Calibri" w:cs="Calibri" w:eastAsia="Calibri" w:hAnsi="Calibri"/>
                <w:i/>
                <w:iCs/>
                <w:color w:val="6B7A8D"/>
                <w:sz w:val="16"/>
                <w:szCs w:val="16"/>
              </w:rPr>
              <w:t xml:space="preserve">vs budget of 48.0% — 0.9pp compression</w:t>
            </w:r>
          </w:p>
        </w:tc>
      </w:tr>
    </w:tbl>
    <w:p>
      <w:pPr>
        <w:spacing w:before="80" w:after="0"/>
      </w:pPr>
    </w:p>
    <w:p>
      <w:r>
        <w:rPr>
          <w:rFonts w:ascii="Calibri" w:cs="Calibri" w:eastAsia="Calibri" w:hAnsi="Calibri"/>
          <w:i/>
          <w:iCs/>
          <w:color w:val="6B7A8D"/>
          <w:sz w:val="16"/>
          <w:szCs w:val="16"/>
        </w:rPr>
        <w:t xml:space="preserve">Prepared by: Suyash Thakuri, Financial Data Analyst  ·  Report date: January 2025  ·  Period: FY2024 (Jan – Dec 2024)</w:t>
      </w:r>
    </w:p>
    <w:p>
      <w:r>
        <w:br w:type="page"/>
      </w:r>
    </w:p>
    <w:p>
      <w:pPr>
        <w:pBdr>
          <w:bottom w:val="single" w:color="1A6B4A" w:sz="8" w:space="4"/>
        </w:pBdr>
        <w:spacing w:before="280" w:after="80"/>
      </w:pPr>
      <w:r>
        <w:rPr>
          <w:rFonts w:ascii="Calibri" w:cs="Calibri" w:eastAsia="Calibri" w:hAnsi="Calibri"/>
          <w:b/>
          <w:bCs/>
          <w:color w:val="1A6B4A"/>
          <w:sz w:val="22"/>
          <w:szCs w:val="22"/>
        </w:rPr>
        <w:t xml:space="preserve">1. EXECUTIVE SUMMARY</w:t>
      </w:r>
    </w:p>
    <w:p>
      <w:pPr>
        <w:spacing w:before="50" w:after="50"/>
      </w:pPr>
      <w:r>
        <w:rPr>
          <w:rFonts w:ascii="Calibri" w:cs="Calibri" w:eastAsia="Calibri" w:hAnsi="Calibri"/>
          <w:color w:val="3D4A5A"/>
          <w:sz w:val="19"/>
          <w:szCs w:val="19"/>
        </w:rPr>
        <w:t xml:space="preserve">The Financial Services Business Unit delivered </w:t>
      </w:r>
      <w:r>
        <w:rPr>
          <w:rFonts w:ascii="Calibri" w:cs="Calibri" w:eastAsia="Calibri" w:hAnsi="Calibri"/>
          <w:b/>
          <w:bCs/>
          <w:color w:val="0F1419"/>
          <w:sz w:val="19"/>
          <w:szCs w:val="19"/>
        </w:rPr>
        <w:t xml:space="preserve">FY2024 revenue of A$151,307k, +1.5% above budget</w:t>
      </w:r>
      <w:r>
        <w:rPr>
          <w:rFonts w:ascii="Calibri" w:cs="Calibri" w:eastAsia="Calibri" w:hAnsi="Calibri"/>
          <w:color w:val="3D4A5A"/>
          <w:sz w:val="19"/>
          <w:szCs w:val="19"/>
        </w:rPr>
        <w:t xml:space="preserve"> (A$149,010k). However, costs grew faster than revenue — total costs of A$79,990k were </w:t>
      </w:r>
      <w:r>
        <w:rPr>
          <w:rFonts w:ascii="Calibri" w:cs="Calibri" w:eastAsia="Calibri" w:hAnsi="Calibri"/>
          <w:b/>
          <w:bCs/>
          <w:color w:val="0F1419"/>
          <w:sz w:val="19"/>
          <w:szCs w:val="19"/>
        </w:rPr>
        <w:t xml:space="preserve">+3.2% over budget</w:t>
      </w:r>
      <w:r>
        <w:rPr>
          <w:rFonts w:ascii="Calibri" w:cs="Calibri" w:eastAsia="Calibri" w:hAnsi="Calibri"/>
          <w:color w:val="3D4A5A"/>
          <w:sz w:val="19"/>
          <w:szCs w:val="19"/>
        </w:rPr>
        <w:t xml:space="preserve"> (A$77,545k) — resulting in </w:t>
      </w:r>
      <w:r>
        <w:rPr>
          <w:rFonts w:ascii="Calibri" w:cs="Calibri" w:eastAsia="Calibri" w:hAnsi="Calibri"/>
          <w:b/>
          <w:bCs/>
          <w:color w:val="0F1419"/>
          <w:sz w:val="19"/>
          <w:szCs w:val="19"/>
        </w:rPr>
        <w:t xml:space="preserve">EBITDA of A$71,317k, marginally below budget by A$148k</w:t>
      </w:r>
      <w:r>
        <w:rPr>
          <w:rFonts w:ascii="Calibri" w:cs="Calibri" w:eastAsia="Calibri" w:hAnsi="Calibri"/>
          <w:color w:val="3D4A5A"/>
          <w:sz w:val="19"/>
          <w:szCs w:val="19"/>
        </w:rPr>
        <w:t xml:space="preserve">. EBITDA margin compressed by </w:t>
      </w:r>
      <w:r>
        <w:rPr>
          <w:rFonts w:ascii="Calibri" w:cs="Calibri" w:eastAsia="Calibri" w:hAnsi="Calibri"/>
          <w:b/>
          <w:bCs/>
          <w:color w:val="0F1419"/>
          <w:sz w:val="19"/>
          <w:szCs w:val="19"/>
        </w:rPr>
        <w:t xml:space="preserve">0.9 percentage points</w:t>
      </w:r>
      <w:r>
        <w:rPr>
          <w:rFonts w:ascii="Calibri" w:cs="Calibri" w:eastAsia="Calibri" w:hAnsi="Calibri"/>
          <w:color w:val="3D4A5A"/>
          <w:sz w:val="19"/>
          <w:szCs w:val="19"/>
        </w:rPr>
        <w:t xml:space="preserve"> from the budgeted 48.0% to 47.1%.</w:t>
      </w:r>
    </w:p>
    <w:p>
      <w:pPr>
        <w:spacing w:before="40" w:after="0"/>
      </w:pPr>
    </w:p>
    <w:p>
      <w:pPr>
        <w:spacing w:before="50" w:after="50"/>
      </w:pPr>
      <w:r>
        <w:rPr>
          <w:rFonts w:ascii="Calibri" w:cs="Calibri" w:eastAsia="Calibri" w:hAnsi="Calibri"/>
          <w:color w:val="3D4A5A"/>
          <w:sz w:val="19"/>
          <w:szCs w:val="19"/>
        </w:rPr>
        <w:t xml:space="preserve">The headline revenue beat masks </w:t>
      </w:r>
      <w:r>
        <w:rPr>
          <w:rFonts w:ascii="Calibri" w:cs="Calibri" w:eastAsia="Calibri" w:hAnsi="Calibri"/>
          <w:b/>
          <w:bCs/>
          <w:color w:val="0F1419"/>
          <w:sz w:val="19"/>
          <w:szCs w:val="19"/>
        </w:rPr>
        <w:t xml:space="preserve">significant divergence across product lines</w:t>
      </w:r>
      <w:r>
        <w:rPr>
          <w:rFonts w:ascii="Calibri" w:cs="Calibri" w:eastAsia="Calibri" w:hAnsi="Calibri"/>
          <w:color w:val="3D4A5A"/>
          <w:sz w:val="19"/>
          <w:szCs w:val="19"/>
        </w:rPr>
        <w:t xml:space="preserve">. Digital Payments materially outperformed (+18-25% across the year) while Business Lending missed budget every month, ending the year -10% below plan. Wealth Management was the standout growth story, delivering consistent outperformance throughout FY2024.</w:t>
      </w:r>
    </w:p>
    <w:p>
      <w:pPr>
        <w:spacing w:before="40" w:after="0"/>
      </w:pPr>
    </w:p>
    <w:p>
      <w:pPr>
        <w:spacing w:before="50" w:after="50"/>
      </w:pPr>
      <w:r>
        <w:rPr>
          <w:rFonts w:ascii="Calibri" w:cs="Calibri" w:eastAsia="Calibri" w:hAnsi="Calibri"/>
          <w:color w:val="3D4A5A"/>
          <w:sz w:val="19"/>
          <w:szCs w:val="19"/>
        </w:rPr>
        <w:t xml:space="preserve"/>
      </w:r>
      <w:r>
        <w:rPr>
          <w:rFonts w:ascii="Calibri" w:cs="Calibri" w:eastAsia="Calibri" w:hAnsi="Calibri"/>
          <w:b/>
          <w:bCs/>
          <w:color w:val="0F1419"/>
          <w:sz w:val="19"/>
          <w:szCs w:val="19"/>
        </w:rPr>
        <w:t xml:space="preserve">The key management issue for FY2025 planning is the cost growth trajectory.</w:t>
      </w:r>
      <w:r>
        <w:rPr>
          <w:rFonts w:ascii="Calibri" w:cs="Calibri" w:eastAsia="Calibri" w:hAnsi="Calibri"/>
          <w:color w:val="3D4A5A"/>
          <w:sz w:val="19"/>
          <w:szCs w:val="19"/>
        </w:rPr>
        <w:t xml:space="preserve"> Technology and Marketing costs both overran budget by material amounts in H2 2024, and this trend is expected to continue. Without active cost management, EBITDA margin is at risk of further compression in FY2025.</w:t>
      </w:r>
    </w:p>
    <w:p>
      <w:pPr>
        <w:spacing w:before="80" w:after="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800"/>
        <w:gridCol w:w="1736"/>
        <w:gridCol w:w="1736"/>
        <w:gridCol w:w="1736"/>
        <w:gridCol w:w="1738"/>
      </w:tblGrid>
      <w:tr>
        <w:tc>
          <w:tcPr>
            <w:tcBorders>
              <w:top w:val="single" w:color="E2E8F0" w:sz="4"/>
              <w:left w:val="single" w:color="E2E8F0" w:sz="4"/>
              <w:bottom w:val="single" w:color="E2E8F0" w:sz="4"/>
              <w:right w:val="single" w:color="E2E8F0" w:sz="4"/>
            </w:tcBorders>
            <w:shd w:fill="1A6B4A" w:val="clear"/>
            <w:tcMar>
              <w:top w:type="dxa" w:w="90"/>
              <w:left w:type="dxa" w:w="120"/>
              <w:bottom w:type="dxa" w:w="90"/>
              <w:right w:type="dxa" w:w="120"/>
            </w:tcMar>
          </w:tcPr>
          <w:p>
            <w:r>
              <w:rPr>
                <w:rFonts w:ascii="Calibri" w:cs="Calibri" w:eastAsia="Calibri" w:hAnsi="Calibri"/>
                <w:b/>
                <w:bCs/>
                <w:color w:val="FFFFFF"/>
                <w:sz w:val="18"/>
                <w:szCs w:val="18"/>
              </w:rPr>
              <w:t xml:space="preserve">P&amp;L Summary (A$000s)</w:t>
            </w:r>
          </w:p>
        </w:tc>
        <w:tc>
          <w:tcPr>
            <w:tcBorders>
              <w:top w:val="single" w:color="E2E8F0" w:sz="4"/>
              <w:left w:val="single" w:color="E2E8F0" w:sz="4"/>
              <w:bottom w:val="single" w:color="E2E8F0" w:sz="4"/>
              <w:right w:val="single" w:color="E2E8F0" w:sz="4"/>
            </w:tcBorders>
            <w:shd w:fill="1A6B4A" w:val="clear"/>
            <w:tcMar>
              <w:top w:type="dxa" w:w="90"/>
              <w:left w:type="dxa" w:w="120"/>
              <w:bottom w:type="dxa" w:w="90"/>
              <w:right w:type="dxa" w:w="120"/>
            </w:tcMar>
          </w:tcPr>
          <w:p>
            <w:r>
              <w:rPr>
                <w:rFonts w:ascii="Calibri" w:cs="Calibri" w:eastAsia="Calibri" w:hAnsi="Calibri"/>
                <w:b/>
                <w:bCs/>
                <w:color w:val="FFFFFF"/>
                <w:sz w:val="18"/>
                <w:szCs w:val="18"/>
              </w:rPr>
              <w:t xml:space="preserve">Budget</w:t>
            </w:r>
          </w:p>
        </w:tc>
        <w:tc>
          <w:tcPr>
            <w:tcBorders>
              <w:top w:val="single" w:color="E2E8F0" w:sz="4"/>
              <w:left w:val="single" w:color="E2E8F0" w:sz="4"/>
              <w:bottom w:val="single" w:color="E2E8F0" w:sz="4"/>
              <w:right w:val="single" w:color="E2E8F0" w:sz="4"/>
            </w:tcBorders>
            <w:shd w:fill="1A6B4A" w:val="clear"/>
            <w:tcMar>
              <w:top w:type="dxa" w:w="90"/>
              <w:left w:type="dxa" w:w="120"/>
              <w:bottom w:type="dxa" w:w="90"/>
              <w:right w:type="dxa" w:w="120"/>
            </w:tcMar>
          </w:tcPr>
          <w:p>
            <w:r>
              <w:rPr>
                <w:rFonts w:ascii="Calibri" w:cs="Calibri" w:eastAsia="Calibri" w:hAnsi="Calibri"/>
                <w:b/>
                <w:bCs/>
                <w:color w:val="FFFFFF"/>
                <w:sz w:val="18"/>
                <w:szCs w:val="18"/>
              </w:rPr>
              <w:t xml:space="preserve">Actual</w:t>
            </w:r>
          </w:p>
        </w:tc>
        <w:tc>
          <w:tcPr>
            <w:tcBorders>
              <w:top w:val="single" w:color="E2E8F0" w:sz="4"/>
              <w:left w:val="single" w:color="E2E8F0" w:sz="4"/>
              <w:bottom w:val="single" w:color="E2E8F0" w:sz="4"/>
              <w:right w:val="single" w:color="E2E8F0" w:sz="4"/>
            </w:tcBorders>
            <w:shd w:fill="1A6B4A" w:val="clear"/>
            <w:tcMar>
              <w:top w:type="dxa" w:w="90"/>
              <w:left w:type="dxa" w:w="120"/>
              <w:bottom w:type="dxa" w:w="90"/>
              <w:right w:type="dxa" w:w="120"/>
            </w:tcMar>
          </w:tcPr>
          <w:p>
            <w:r>
              <w:rPr>
                <w:rFonts w:ascii="Calibri" w:cs="Calibri" w:eastAsia="Calibri" w:hAnsi="Calibri"/>
                <w:b/>
                <w:bCs/>
                <w:color w:val="FFFFFF"/>
                <w:sz w:val="18"/>
                <w:szCs w:val="18"/>
              </w:rPr>
              <w:t xml:space="preserve">Variance</w:t>
            </w:r>
          </w:p>
        </w:tc>
        <w:tc>
          <w:tcPr>
            <w:tcBorders>
              <w:top w:val="single" w:color="E2E8F0" w:sz="4"/>
              <w:left w:val="single" w:color="E2E8F0" w:sz="4"/>
              <w:bottom w:val="single" w:color="E2E8F0" w:sz="4"/>
              <w:right w:val="single" w:color="E2E8F0" w:sz="4"/>
            </w:tcBorders>
            <w:shd w:fill="1A6B4A" w:val="clear"/>
            <w:tcMar>
              <w:top w:type="dxa" w:w="90"/>
              <w:left w:type="dxa" w:w="120"/>
              <w:bottom w:type="dxa" w:w="90"/>
              <w:right w:type="dxa" w:w="120"/>
            </w:tcMar>
          </w:tcPr>
          <w:p>
            <w:r>
              <w:rPr>
                <w:rFonts w:ascii="Calibri" w:cs="Calibri" w:eastAsia="Calibri" w:hAnsi="Calibri"/>
                <w:b/>
                <w:bCs/>
                <w:color w:val="FFFFFF"/>
                <w:sz w:val="18"/>
                <w:szCs w:val="18"/>
              </w:rPr>
              <w:t xml:space="preserve">Var %</w:t>
            </w:r>
          </w:p>
        </w:tc>
      </w:tr>
      <w:tr>
        <w:tc>
          <w:tcPr>
            <w:tcBorders>
              <w:top w:val="single" w:color="E2E8F0" w:sz="4"/>
              <w:left w:val="single" w:color="E2E8F0" w:sz="4"/>
              <w:bottom w:val="single" w:color="E2E8F0" w:sz="4"/>
              <w:right w:val="single" w:color="E2E8F0" w:sz="4"/>
            </w:tcBorders>
            <w:shd w:fill="E8F5F0" w:val="clear"/>
            <w:tcMar>
              <w:top w:type="dxa" w:w="90"/>
              <w:left w:type="dxa" w:w="120"/>
              <w:bottom w:type="dxa" w:w="90"/>
              <w:right w:type="dxa" w:w="120"/>
            </w:tcMar>
            <w:vAlign w:val="center"/>
          </w:tcPr>
          <w:p>
            <w:pPr>
              <w:jc w:val="left"/>
            </w:pPr>
            <w:r>
              <w:rPr>
                <w:rFonts w:ascii="Calibri" w:cs="Calibri" w:eastAsia="Calibri" w:hAnsi="Calibri"/>
                <w:b/>
                <w:bCs/>
                <w:color w:val="0F1419"/>
                <w:sz w:val="18"/>
                <w:szCs w:val="18"/>
              </w:rPr>
              <w:t xml:space="preserve">Revenue</w:t>
            </w:r>
          </w:p>
        </w:tc>
        <w:tc>
          <w:tcPr>
            <w:tcBorders>
              <w:top w:val="single" w:color="E2E8F0" w:sz="4"/>
              <w:left w:val="single" w:color="E2E8F0" w:sz="4"/>
              <w:bottom w:val="single" w:color="E2E8F0" w:sz="4"/>
              <w:right w:val="single" w:color="E2E8F0" w:sz="4"/>
            </w:tcBorders>
            <w:shd w:fill="E8F5F0" w:val="clear"/>
            <w:tcMar>
              <w:top w:type="dxa" w:w="90"/>
              <w:left w:type="dxa" w:w="120"/>
              <w:bottom w:type="dxa" w:w="90"/>
              <w:right w:type="dxa" w:w="120"/>
            </w:tcMar>
            <w:vAlign w:val="center"/>
          </w:tcPr>
          <w:p>
            <w:pPr>
              <w:jc w:val="left"/>
            </w:pPr>
            <w:r>
              <w:rPr>
                <w:rFonts w:ascii="Calibri" w:cs="Calibri" w:eastAsia="Calibri" w:hAnsi="Calibri"/>
                <w:b w:val="false"/>
                <w:bCs w:val="false"/>
                <w:color w:val="0F1419"/>
                <w:sz w:val="18"/>
                <w:szCs w:val="18"/>
              </w:rPr>
              <w:t xml:space="preserve">149,010</w:t>
            </w:r>
          </w:p>
        </w:tc>
        <w:tc>
          <w:tcPr>
            <w:tcBorders>
              <w:top w:val="single" w:color="E2E8F0" w:sz="4"/>
              <w:left w:val="single" w:color="E2E8F0" w:sz="4"/>
              <w:bottom w:val="single" w:color="E2E8F0" w:sz="4"/>
              <w:right w:val="single" w:color="E2E8F0" w:sz="4"/>
            </w:tcBorders>
            <w:shd w:fill="E8F5F0" w:val="clear"/>
            <w:tcMar>
              <w:top w:type="dxa" w:w="90"/>
              <w:left w:type="dxa" w:w="120"/>
              <w:bottom w:type="dxa" w:w="90"/>
              <w:right w:type="dxa" w:w="120"/>
            </w:tcMar>
            <w:vAlign w:val="center"/>
          </w:tcPr>
          <w:p>
            <w:pPr>
              <w:jc w:val="left"/>
            </w:pPr>
            <w:r>
              <w:rPr>
                <w:rFonts w:ascii="Calibri" w:cs="Calibri" w:eastAsia="Calibri" w:hAnsi="Calibri"/>
                <w:b/>
                <w:bCs/>
                <w:color w:val="0F1419"/>
                <w:sz w:val="18"/>
                <w:szCs w:val="18"/>
              </w:rPr>
              <w:t xml:space="preserve">151,307</w:t>
            </w:r>
          </w:p>
        </w:tc>
        <w:tc>
          <w:tcPr>
            <w:tcBorders>
              <w:top w:val="single" w:color="E2E8F0" w:sz="4"/>
              <w:left w:val="single" w:color="E2E8F0" w:sz="4"/>
              <w:bottom w:val="single" w:color="E2E8F0" w:sz="4"/>
              <w:right w:val="single" w:color="E2E8F0" w:sz="4"/>
            </w:tcBorders>
            <w:shd w:fill="E8F5F0" w:val="clear"/>
            <w:tcMar>
              <w:top w:type="dxa" w:w="90"/>
              <w:left w:type="dxa" w:w="120"/>
              <w:bottom w:type="dxa" w:w="90"/>
              <w:right w:type="dxa" w:w="120"/>
            </w:tcMar>
            <w:vAlign w:val="center"/>
          </w:tcPr>
          <w:p>
            <w:pPr>
              <w:jc w:val="center"/>
            </w:pPr>
            <w:r>
              <w:rPr>
                <w:rFonts w:ascii="Calibri" w:cs="Calibri" w:eastAsia="Calibri" w:hAnsi="Calibri"/>
                <w:b/>
                <w:bCs/>
                <w:color w:val="1A6B4A"/>
                <w:sz w:val="18"/>
                <w:szCs w:val="18"/>
              </w:rPr>
              <w:t xml:space="preserve">+2,297</w:t>
            </w:r>
          </w:p>
        </w:tc>
        <w:tc>
          <w:tcPr>
            <w:tcBorders>
              <w:top w:val="single" w:color="E2E8F0" w:sz="4"/>
              <w:left w:val="single" w:color="E2E8F0" w:sz="4"/>
              <w:bottom w:val="single" w:color="E2E8F0" w:sz="4"/>
              <w:right w:val="single" w:color="E2E8F0" w:sz="4"/>
            </w:tcBorders>
            <w:shd w:fill="E8F5F0" w:val="clear"/>
            <w:tcMar>
              <w:top w:type="dxa" w:w="90"/>
              <w:left w:type="dxa" w:w="120"/>
              <w:bottom w:type="dxa" w:w="90"/>
              <w:right w:type="dxa" w:w="120"/>
            </w:tcMar>
            <w:vAlign w:val="center"/>
          </w:tcPr>
          <w:p>
            <w:pPr>
              <w:jc w:val="center"/>
            </w:pPr>
            <w:r>
              <w:rPr>
                <w:rFonts w:ascii="Calibri" w:cs="Calibri" w:eastAsia="Calibri" w:hAnsi="Calibri"/>
                <w:b/>
                <w:bCs/>
                <w:color w:val="1A6B4A"/>
                <w:sz w:val="18"/>
                <w:szCs w:val="18"/>
              </w:rPr>
              <w:t xml:space="preserve">+1.5%</w:t>
            </w:r>
          </w:p>
        </w:tc>
      </w:tr>
      <w:tr>
        <w:tc>
          <w:tcPr>
            <w:tcBorders>
              <w:top w:val="single" w:color="E2E8F0" w:sz="4"/>
              <w:left w:val="single" w:color="E2E8F0" w:sz="4"/>
              <w:bottom w:val="single" w:color="E2E8F0" w:sz="4"/>
              <w:right w:val="single" w:color="E2E8F0" w:sz="4"/>
            </w:tcBorders>
            <w:shd w:fill="FDF2F2" w:val="clear"/>
            <w:tcMar>
              <w:top w:type="dxa" w:w="90"/>
              <w:left w:type="dxa" w:w="120"/>
              <w:bottom w:type="dxa" w:w="90"/>
              <w:right w:type="dxa" w:w="120"/>
            </w:tcMar>
            <w:vAlign w:val="center"/>
          </w:tcPr>
          <w:p>
            <w:pPr>
              <w:jc w:val="left"/>
            </w:pPr>
            <w:r>
              <w:rPr>
                <w:rFonts w:ascii="Calibri" w:cs="Calibri" w:eastAsia="Calibri" w:hAnsi="Calibri"/>
                <w:b/>
                <w:bCs/>
                <w:color w:val="0F1419"/>
                <w:sz w:val="18"/>
                <w:szCs w:val="18"/>
              </w:rPr>
              <w:t xml:space="preserve">Total Costs</w:t>
            </w:r>
          </w:p>
        </w:tc>
        <w:tc>
          <w:tcPr>
            <w:tcBorders>
              <w:top w:val="single" w:color="E2E8F0" w:sz="4"/>
              <w:left w:val="single" w:color="E2E8F0" w:sz="4"/>
              <w:bottom w:val="single" w:color="E2E8F0" w:sz="4"/>
              <w:right w:val="single" w:color="E2E8F0" w:sz="4"/>
            </w:tcBorders>
            <w:shd w:fill="FDF2F2" w:val="clear"/>
            <w:tcMar>
              <w:top w:type="dxa" w:w="90"/>
              <w:left w:type="dxa" w:w="120"/>
              <w:bottom w:type="dxa" w:w="90"/>
              <w:right w:type="dxa" w:w="120"/>
            </w:tcMar>
            <w:vAlign w:val="center"/>
          </w:tcPr>
          <w:p>
            <w:pPr>
              <w:jc w:val="left"/>
            </w:pPr>
            <w:r>
              <w:rPr>
                <w:rFonts w:ascii="Calibri" w:cs="Calibri" w:eastAsia="Calibri" w:hAnsi="Calibri"/>
                <w:b w:val="false"/>
                <w:bCs w:val="false"/>
                <w:color w:val="0F1419"/>
                <w:sz w:val="18"/>
                <w:szCs w:val="18"/>
              </w:rPr>
              <w:t xml:space="preserve">77,545</w:t>
            </w:r>
          </w:p>
        </w:tc>
        <w:tc>
          <w:tcPr>
            <w:tcBorders>
              <w:top w:val="single" w:color="E2E8F0" w:sz="4"/>
              <w:left w:val="single" w:color="E2E8F0" w:sz="4"/>
              <w:bottom w:val="single" w:color="E2E8F0" w:sz="4"/>
              <w:right w:val="single" w:color="E2E8F0" w:sz="4"/>
            </w:tcBorders>
            <w:shd w:fill="FDF2F2" w:val="clear"/>
            <w:tcMar>
              <w:top w:type="dxa" w:w="90"/>
              <w:left w:type="dxa" w:w="120"/>
              <w:bottom w:type="dxa" w:w="90"/>
              <w:right w:type="dxa" w:w="120"/>
            </w:tcMar>
            <w:vAlign w:val="center"/>
          </w:tcPr>
          <w:p>
            <w:pPr>
              <w:jc w:val="left"/>
            </w:pPr>
            <w:r>
              <w:rPr>
                <w:rFonts w:ascii="Calibri" w:cs="Calibri" w:eastAsia="Calibri" w:hAnsi="Calibri"/>
                <w:b/>
                <w:bCs/>
                <w:color w:val="0F1419"/>
                <w:sz w:val="18"/>
                <w:szCs w:val="18"/>
              </w:rPr>
              <w:t xml:space="preserve">79,990</w:t>
            </w:r>
          </w:p>
        </w:tc>
        <w:tc>
          <w:tcPr>
            <w:tcBorders>
              <w:top w:val="single" w:color="E2E8F0" w:sz="4"/>
              <w:left w:val="single" w:color="E2E8F0" w:sz="4"/>
              <w:bottom w:val="single" w:color="E2E8F0" w:sz="4"/>
              <w:right w:val="single" w:color="E2E8F0" w:sz="4"/>
            </w:tcBorders>
            <w:shd w:fill="FDF2F2" w:val="clear"/>
            <w:tcMar>
              <w:top w:type="dxa" w:w="90"/>
              <w:left w:type="dxa" w:w="120"/>
              <w:bottom w:type="dxa" w:w="90"/>
              <w:right w:type="dxa" w:w="120"/>
            </w:tcMar>
            <w:vAlign w:val="center"/>
          </w:tcPr>
          <w:p>
            <w:pPr>
              <w:jc w:val="center"/>
            </w:pPr>
            <w:r>
              <w:rPr>
                <w:rFonts w:ascii="Calibri" w:cs="Calibri" w:eastAsia="Calibri" w:hAnsi="Calibri"/>
                <w:b/>
                <w:bCs/>
                <w:color w:val="C0392B"/>
                <w:sz w:val="18"/>
                <w:szCs w:val="18"/>
              </w:rPr>
              <w:t xml:space="preserve">+2,445</w:t>
            </w:r>
          </w:p>
        </w:tc>
        <w:tc>
          <w:tcPr>
            <w:tcBorders>
              <w:top w:val="single" w:color="E2E8F0" w:sz="4"/>
              <w:left w:val="single" w:color="E2E8F0" w:sz="4"/>
              <w:bottom w:val="single" w:color="E2E8F0" w:sz="4"/>
              <w:right w:val="single" w:color="E2E8F0" w:sz="4"/>
            </w:tcBorders>
            <w:shd w:fill="FDF2F2" w:val="clear"/>
            <w:tcMar>
              <w:top w:type="dxa" w:w="90"/>
              <w:left w:type="dxa" w:w="120"/>
              <w:bottom w:type="dxa" w:w="90"/>
              <w:right w:type="dxa" w:w="120"/>
            </w:tcMar>
            <w:vAlign w:val="center"/>
          </w:tcPr>
          <w:p>
            <w:pPr>
              <w:jc w:val="center"/>
            </w:pPr>
            <w:r>
              <w:rPr>
                <w:rFonts w:ascii="Calibri" w:cs="Calibri" w:eastAsia="Calibri" w:hAnsi="Calibri"/>
                <w:b/>
                <w:bCs/>
                <w:color w:val="C0392B"/>
                <w:sz w:val="18"/>
                <w:szCs w:val="18"/>
              </w:rPr>
              <w:t xml:space="preserve">+3.2%</w:t>
            </w:r>
          </w:p>
        </w:tc>
      </w:tr>
      <w:tr>
        <w:tc>
          <w:tcPr>
            <w:tcBorders>
              <w:top w:val="single" w:color="E2E8F0" w:sz="4"/>
              <w:left w:val="single" w:color="E2E8F0" w:sz="4"/>
              <w:bottom w:val="single" w:color="E2E8F0" w:sz="4"/>
              <w:right w:val="single" w:color="E2E8F0" w:sz="4"/>
            </w:tcBorders>
            <w:shd w:fill="FEF9EC" w:val="clear"/>
            <w:tcMar>
              <w:top w:type="dxa" w:w="90"/>
              <w:left w:type="dxa" w:w="120"/>
              <w:bottom w:type="dxa" w:w="90"/>
              <w:right w:type="dxa" w:w="120"/>
            </w:tcMar>
            <w:vAlign w:val="center"/>
          </w:tcPr>
          <w:p>
            <w:pPr>
              <w:jc w:val="left"/>
            </w:pPr>
            <w:r>
              <w:rPr>
                <w:rFonts w:ascii="Calibri" w:cs="Calibri" w:eastAsia="Calibri" w:hAnsi="Calibri"/>
                <w:b/>
                <w:bCs/>
                <w:color w:val="0F1419"/>
                <w:sz w:val="18"/>
                <w:szCs w:val="18"/>
              </w:rPr>
              <w:t xml:space="preserve">EBITDA</w:t>
            </w:r>
          </w:p>
        </w:tc>
        <w:tc>
          <w:tcPr>
            <w:tcBorders>
              <w:top w:val="single" w:color="E2E8F0" w:sz="4"/>
              <w:left w:val="single" w:color="E2E8F0" w:sz="4"/>
              <w:bottom w:val="single" w:color="E2E8F0" w:sz="4"/>
              <w:right w:val="single" w:color="E2E8F0" w:sz="4"/>
            </w:tcBorders>
            <w:shd w:fill="FEF9EC" w:val="clear"/>
            <w:tcMar>
              <w:top w:type="dxa" w:w="90"/>
              <w:left w:type="dxa" w:w="120"/>
              <w:bottom w:type="dxa" w:w="90"/>
              <w:right w:type="dxa" w:w="120"/>
            </w:tcMar>
            <w:vAlign w:val="center"/>
          </w:tcPr>
          <w:p>
            <w:pPr>
              <w:jc w:val="left"/>
            </w:pPr>
            <w:r>
              <w:rPr>
                <w:rFonts w:ascii="Calibri" w:cs="Calibri" w:eastAsia="Calibri" w:hAnsi="Calibri"/>
                <w:b w:val="false"/>
                <w:bCs w:val="false"/>
                <w:color w:val="0F1419"/>
                <w:sz w:val="18"/>
                <w:szCs w:val="18"/>
              </w:rPr>
              <w:t xml:space="preserve">71,465</w:t>
            </w:r>
          </w:p>
        </w:tc>
        <w:tc>
          <w:tcPr>
            <w:tcBorders>
              <w:top w:val="single" w:color="E2E8F0" w:sz="4"/>
              <w:left w:val="single" w:color="E2E8F0" w:sz="4"/>
              <w:bottom w:val="single" w:color="E2E8F0" w:sz="4"/>
              <w:right w:val="single" w:color="E2E8F0" w:sz="4"/>
            </w:tcBorders>
            <w:shd w:fill="FEF9EC" w:val="clear"/>
            <w:tcMar>
              <w:top w:type="dxa" w:w="90"/>
              <w:left w:type="dxa" w:w="120"/>
              <w:bottom w:type="dxa" w:w="90"/>
              <w:right w:type="dxa" w:w="120"/>
            </w:tcMar>
            <w:vAlign w:val="center"/>
          </w:tcPr>
          <w:p>
            <w:pPr>
              <w:jc w:val="left"/>
            </w:pPr>
            <w:r>
              <w:rPr>
                <w:rFonts w:ascii="Calibri" w:cs="Calibri" w:eastAsia="Calibri" w:hAnsi="Calibri"/>
                <w:b/>
                <w:bCs/>
                <w:color w:val="0F1419"/>
                <w:sz w:val="18"/>
                <w:szCs w:val="18"/>
              </w:rPr>
              <w:t xml:space="preserve">71,317</w:t>
            </w:r>
          </w:p>
        </w:tc>
        <w:tc>
          <w:tcPr>
            <w:tcBorders>
              <w:top w:val="single" w:color="E2E8F0" w:sz="4"/>
              <w:left w:val="single" w:color="E2E8F0" w:sz="4"/>
              <w:bottom w:val="single" w:color="E2E8F0" w:sz="4"/>
              <w:right w:val="single" w:color="E2E8F0" w:sz="4"/>
            </w:tcBorders>
            <w:shd w:fill="FEF9EC" w:val="clear"/>
            <w:tcMar>
              <w:top w:type="dxa" w:w="90"/>
              <w:left w:type="dxa" w:w="120"/>
              <w:bottom w:type="dxa" w:w="90"/>
              <w:right w:type="dxa" w:w="120"/>
            </w:tcMar>
            <w:vAlign w:val="center"/>
          </w:tcPr>
          <w:p>
            <w:pPr>
              <w:jc w:val="center"/>
            </w:pPr>
            <w:r>
              <w:rPr>
                <w:rFonts w:ascii="Calibri" w:cs="Calibri" w:eastAsia="Calibri" w:hAnsi="Calibri"/>
                <w:b/>
                <w:bCs/>
                <w:color w:val="E07B39"/>
                <w:sz w:val="18"/>
                <w:szCs w:val="18"/>
              </w:rPr>
              <w:t xml:space="preserve">-148</w:t>
            </w:r>
          </w:p>
        </w:tc>
        <w:tc>
          <w:tcPr>
            <w:tcBorders>
              <w:top w:val="single" w:color="E2E8F0" w:sz="4"/>
              <w:left w:val="single" w:color="E2E8F0" w:sz="4"/>
              <w:bottom w:val="single" w:color="E2E8F0" w:sz="4"/>
              <w:right w:val="single" w:color="E2E8F0" w:sz="4"/>
            </w:tcBorders>
            <w:shd w:fill="FEF9EC" w:val="clear"/>
            <w:tcMar>
              <w:top w:type="dxa" w:w="90"/>
              <w:left w:type="dxa" w:w="120"/>
              <w:bottom w:type="dxa" w:w="90"/>
              <w:right w:type="dxa" w:w="120"/>
            </w:tcMar>
            <w:vAlign w:val="center"/>
          </w:tcPr>
          <w:p>
            <w:pPr>
              <w:jc w:val="center"/>
            </w:pPr>
            <w:r>
              <w:rPr>
                <w:rFonts w:ascii="Calibri" w:cs="Calibri" w:eastAsia="Calibri" w:hAnsi="Calibri"/>
                <w:b/>
                <w:bCs/>
                <w:color w:val="E07B39"/>
                <w:sz w:val="18"/>
                <w:szCs w:val="18"/>
              </w:rPr>
              <w:t xml:space="preserve">-0.2%</w:t>
            </w:r>
          </w:p>
        </w:tc>
      </w:tr>
      <w:tr>
        <w:tc>
          <w:tcPr>
            <w:tcBorders>
              <w:top w:val="single" w:color="E2E8F0" w:sz="4"/>
              <w:left w:val="single" w:color="E2E8F0" w:sz="4"/>
              <w:bottom w:val="single" w:color="E2E8F0" w:sz="4"/>
              <w:right w:val="single" w:color="E2E8F0" w:sz="4"/>
            </w:tcBorders>
            <w:shd w:fill="F0F4F8" w:val="clear"/>
            <w:tcMar>
              <w:top w:type="dxa" w:w="90"/>
              <w:left w:type="dxa" w:w="120"/>
              <w:bottom w:type="dxa" w:w="90"/>
              <w:right w:type="dxa" w:w="120"/>
            </w:tcMar>
            <w:vAlign w:val="center"/>
          </w:tcPr>
          <w:p>
            <w:pPr>
              <w:jc w:val="left"/>
            </w:pPr>
            <w:r>
              <w:rPr>
                <w:rFonts w:ascii="Calibri" w:cs="Calibri" w:eastAsia="Calibri" w:hAnsi="Calibri"/>
                <w:b/>
                <w:bCs/>
                <w:color w:val="0F1419"/>
                <w:sz w:val="18"/>
                <w:szCs w:val="18"/>
              </w:rPr>
              <w:t xml:space="preserve">EBITDA Margin</w:t>
            </w:r>
          </w:p>
        </w:tc>
        <w:tc>
          <w:tcPr>
            <w:tcBorders>
              <w:top w:val="single" w:color="E2E8F0" w:sz="4"/>
              <w:left w:val="single" w:color="E2E8F0" w:sz="4"/>
              <w:bottom w:val="single" w:color="E2E8F0" w:sz="4"/>
              <w:right w:val="single" w:color="E2E8F0" w:sz="4"/>
            </w:tcBorders>
            <w:shd w:fill="F0F4F8" w:val="clear"/>
            <w:tcMar>
              <w:top w:type="dxa" w:w="90"/>
              <w:left w:type="dxa" w:w="120"/>
              <w:bottom w:type="dxa" w:w="90"/>
              <w:right w:type="dxa" w:w="120"/>
            </w:tcMar>
            <w:vAlign w:val="center"/>
          </w:tcPr>
          <w:p>
            <w:pPr>
              <w:jc w:val="left"/>
            </w:pPr>
            <w:r>
              <w:rPr>
                <w:rFonts w:ascii="Calibri" w:cs="Calibri" w:eastAsia="Calibri" w:hAnsi="Calibri"/>
                <w:b w:val="false"/>
                <w:bCs w:val="false"/>
                <w:color w:val="0F1419"/>
                <w:sz w:val="18"/>
                <w:szCs w:val="18"/>
              </w:rPr>
              <w:t xml:space="preserve">48.0%</w:t>
            </w:r>
          </w:p>
        </w:tc>
        <w:tc>
          <w:tcPr>
            <w:tcBorders>
              <w:top w:val="single" w:color="E2E8F0" w:sz="4"/>
              <w:left w:val="single" w:color="E2E8F0" w:sz="4"/>
              <w:bottom w:val="single" w:color="E2E8F0" w:sz="4"/>
              <w:right w:val="single" w:color="E2E8F0" w:sz="4"/>
            </w:tcBorders>
            <w:shd w:fill="F0F4F8" w:val="clear"/>
            <w:tcMar>
              <w:top w:type="dxa" w:w="90"/>
              <w:left w:type="dxa" w:w="120"/>
              <w:bottom w:type="dxa" w:w="90"/>
              <w:right w:type="dxa" w:w="120"/>
            </w:tcMar>
            <w:vAlign w:val="center"/>
          </w:tcPr>
          <w:p>
            <w:pPr>
              <w:jc w:val="left"/>
            </w:pPr>
            <w:r>
              <w:rPr>
                <w:rFonts w:ascii="Calibri" w:cs="Calibri" w:eastAsia="Calibri" w:hAnsi="Calibri"/>
                <w:b/>
                <w:bCs/>
                <w:color w:val="0F1419"/>
                <w:sz w:val="18"/>
                <w:szCs w:val="18"/>
              </w:rPr>
              <w:t xml:space="preserve">47.1%</w:t>
            </w:r>
          </w:p>
        </w:tc>
        <w:tc>
          <w:tcPr>
            <w:tcBorders>
              <w:top w:val="single" w:color="E2E8F0" w:sz="4"/>
              <w:left w:val="single" w:color="E2E8F0" w:sz="4"/>
              <w:bottom w:val="single" w:color="E2E8F0" w:sz="4"/>
              <w:right w:val="single" w:color="E2E8F0" w:sz="4"/>
            </w:tcBorders>
            <w:shd w:fill="F0F4F8" w:val="clear"/>
            <w:tcMar>
              <w:top w:type="dxa" w:w="90"/>
              <w:left w:type="dxa" w:w="120"/>
              <w:bottom w:type="dxa" w:w="90"/>
              <w:right w:type="dxa" w:w="120"/>
            </w:tcMar>
            <w:vAlign w:val="center"/>
          </w:tcPr>
          <w:p>
            <w:pPr>
              <w:jc w:val="center"/>
            </w:pPr>
            <w:r>
              <w:rPr>
                <w:rFonts w:ascii="Calibri" w:cs="Calibri" w:eastAsia="Calibri" w:hAnsi="Calibri"/>
                <w:b/>
                <w:bCs/>
                <w:color w:val="E07B39"/>
                <w:sz w:val="18"/>
                <w:szCs w:val="18"/>
              </w:rPr>
              <w:t xml:space="preserve">-0.9pp</w:t>
            </w:r>
          </w:p>
        </w:tc>
        <w:tc>
          <w:tcPr>
            <w:tcBorders>
              <w:top w:val="single" w:color="E2E8F0" w:sz="4"/>
              <w:left w:val="single" w:color="E2E8F0" w:sz="4"/>
              <w:bottom w:val="single" w:color="E2E8F0" w:sz="4"/>
              <w:right w:val="single" w:color="E2E8F0" w:sz="4"/>
            </w:tcBorders>
            <w:shd w:fill="F0F4F8" w:val="clear"/>
            <w:tcMar>
              <w:top w:type="dxa" w:w="90"/>
              <w:left w:type="dxa" w:w="120"/>
              <w:bottom w:type="dxa" w:w="90"/>
              <w:right w:type="dxa" w:w="120"/>
            </w:tcMar>
            <w:vAlign w:val="center"/>
          </w:tcPr>
          <w:p>
            <w:pPr>
              <w:jc w:val="left"/>
            </w:pPr>
            <w:r>
              <w:rPr>
                <w:rFonts w:ascii="Calibri" w:cs="Calibri" w:eastAsia="Calibri" w:hAnsi="Calibri"/>
                <w:b w:val="false"/>
                <w:bCs w:val="false"/>
                <w:color w:val="0F1419"/>
                <w:sz w:val="18"/>
                <w:szCs w:val="18"/>
              </w:rPr>
              <w:t xml:space="preserve"/>
            </w:r>
          </w:p>
        </w:tc>
      </w:tr>
    </w:tbl>
    <w:p>
      <w:pPr>
        <w:spacing w:before="200" w:after="0"/>
      </w:pPr>
    </w:p>
    <w:p>
      <w:r>
        <w:br w:type="page"/>
      </w:r>
    </w:p>
    <w:p>
      <w:pPr>
        <w:pBdr>
          <w:bottom w:val="single" w:color="1A6B4A" w:sz="8" w:space="4"/>
        </w:pBdr>
        <w:spacing w:before="280" w:after="80"/>
      </w:pPr>
      <w:r>
        <w:rPr>
          <w:rFonts w:ascii="Calibri" w:cs="Calibri" w:eastAsia="Calibri" w:hAnsi="Calibri"/>
          <w:b/>
          <w:bCs/>
          <w:color w:val="1A6B4A"/>
          <w:sz w:val="22"/>
          <w:szCs w:val="22"/>
        </w:rPr>
        <w:t xml:space="preserve">2. REVENUE PERFORMANCE</w:t>
      </w:r>
    </w:p>
    <w:p>
      <w:pPr>
        <w:spacing w:before="180" w:after="60"/>
      </w:pPr>
      <w:r>
        <w:rPr>
          <w:rFonts w:ascii="Calibri" w:cs="Calibri" w:eastAsia="Calibri" w:hAnsi="Calibri"/>
          <w:b/>
          <w:bCs/>
          <w:color w:val="0F1419"/>
          <w:sz w:val="21"/>
          <w:szCs w:val="21"/>
        </w:rPr>
        <w:t xml:space="preserve">2.1 Full Year Revenue vs Budget</w:t>
      </w:r>
    </w:p>
    <w:p>
      <w:pPr>
        <w:spacing w:before="50" w:after="50"/>
      </w:pPr>
      <w:r>
        <w:rPr>
          <w:rFonts w:ascii="Calibri" w:cs="Calibri" w:eastAsia="Calibri" w:hAnsi="Calibri"/>
          <w:color w:val="3D4A5A"/>
          <w:sz w:val="19"/>
          <w:szCs w:val="19"/>
        </w:rPr>
        <w:t xml:space="preserve">Total FY2024 revenue of </w:t>
      </w:r>
      <w:r>
        <w:rPr>
          <w:rFonts w:ascii="Calibri" w:cs="Calibri" w:eastAsia="Calibri" w:hAnsi="Calibri"/>
          <w:b/>
          <w:bCs/>
          <w:color w:val="0F1419"/>
          <w:sz w:val="19"/>
          <w:szCs w:val="19"/>
        </w:rPr>
        <w:t xml:space="preserve">A$151,307k exceeded budget by A$2,297k (+1.5%)</w:t>
      </w:r>
      <w:r>
        <w:rPr>
          <w:rFonts w:ascii="Calibri" w:cs="Calibri" w:eastAsia="Calibri" w:hAnsi="Calibri"/>
          <w:color w:val="3D4A5A"/>
          <w:sz w:val="19"/>
          <w:szCs w:val="19"/>
        </w:rPr>
        <w:t xml:space="preserve">. The beat was driven almost entirely by two products — </w:t>
      </w:r>
      <w:r>
        <w:rPr>
          <w:rFonts w:ascii="Calibri" w:cs="Calibri" w:eastAsia="Calibri" w:hAnsi="Calibri"/>
          <w:b/>
          <w:bCs/>
          <w:color w:val="0F1419"/>
          <w:sz w:val="19"/>
          <w:szCs w:val="19"/>
        </w:rPr>
        <w:t xml:space="preserve">Digital Payments and Wealth Management</w:t>
      </w:r>
      <w:r>
        <w:rPr>
          <w:rFonts w:ascii="Calibri" w:cs="Calibri" w:eastAsia="Calibri" w:hAnsi="Calibri"/>
          <w:color w:val="3D4A5A"/>
          <w:sz w:val="19"/>
          <w:szCs w:val="19"/>
        </w:rPr>
        <w:t xml:space="preserve"> — which together contributed A$4,200k above budget. This was partially offset by </w:t>
      </w:r>
      <w:r>
        <w:rPr>
          <w:rFonts w:ascii="Calibri" w:cs="Calibri" w:eastAsia="Calibri" w:hAnsi="Calibri"/>
          <w:b/>
          <w:bCs/>
          <w:color w:val="0F1419"/>
          <w:sz w:val="19"/>
          <w:szCs w:val="19"/>
        </w:rPr>
        <w:t xml:space="preserve">Business Lending</w:t>
      </w:r>
      <w:r>
        <w:rPr>
          <w:rFonts w:ascii="Calibri" w:cs="Calibri" w:eastAsia="Calibri" w:hAnsi="Calibri"/>
          <w:color w:val="3D4A5A"/>
          <w:sz w:val="19"/>
          <w:szCs w:val="19"/>
        </w:rPr>
        <w:t xml:space="preserve">, which missed budget by A$2,100k, and </w:t>
      </w:r>
      <w:r>
        <w:rPr>
          <w:rFonts w:ascii="Calibri" w:cs="Calibri" w:eastAsia="Calibri" w:hAnsi="Calibri"/>
          <w:b/>
          <w:bCs/>
          <w:color w:val="0F1419"/>
          <w:sz w:val="19"/>
          <w:szCs w:val="19"/>
        </w:rPr>
        <w:t xml:space="preserve">Foreign Exchange</w:t>
      </w:r>
      <w:r>
        <w:rPr>
          <w:rFonts w:ascii="Calibri" w:cs="Calibri" w:eastAsia="Calibri" w:hAnsi="Calibri"/>
          <w:color w:val="3D4A5A"/>
          <w:sz w:val="19"/>
          <w:szCs w:val="19"/>
        </w:rPr>
        <w:t xml:space="preserve">, which was A$280k below plan.</w:t>
      </w:r>
    </w:p>
    <w:p>
      <w:pPr>
        <w:spacing w:before="40" w:after="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1629"/>
        <w:gridCol w:w="1629"/>
        <w:gridCol w:w="1629"/>
        <w:gridCol w:w="1629"/>
        <w:gridCol w:w="629"/>
      </w:tblGrid>
      <w:tr>
        <w:tc>
          <w:tcPr>
            <w:tcBorders>
              <w:top w:val="single" w:color="E2E8F0" w:sz="4"/>
              <w:left w:val="single" w:color="E2E8F0" w:sz="4"/>
              <w:bottom w:val="single" w:color="E2E8F0" w:sz="4"/>
              <w:right w:val="single" w:color="E2E8F0" w:sz="4"/>
            </w:tcBorders>
            <w:shd w:fill="1A6B4A" w:val="clear"/>
            <w:tcMar>
              <w:top w:type="dxa" w:w="90"/>
              <w:left w:type="dxa" w:w="120"/>
              <w:bottom w:type="dxa" w:w="90"/>
              <w:right w:type="dxa" w:w="120"/>
            </w:tcMar>
          </w:tcPr>
          <w:p>
            <w:r>
              <w:rPr>
                <w:rFonts w:ascii="Calibri" w:cs="Calibri" w:eastAsia="Calibri" w:hAnsi="Calibri"/>
                <w:b/>
                <w:bCs/>
                <w:color w:val="FFFFFF"/>
                <w:sz w:val="18"/>
                <w:szCs w:val="18"/>
              </w:rPr>
              <w:t xml:space="preserve">Product Line</w:t>
            </w:r>
          </w:p>
        </w:tc>
        <w:tc>
          <w:tcPr>
            <w:tcBorders>
              <w:top w:val="single" w:color="E2E8F0" w:sz="4"/>
              <w:left w:val="single" w:color="E2E8F0" w:sz="4"/>
              <w:bottom w:val="single" w:color="E2E8F0" w:sz="4"/>
              <w:right w:val="single" w:color="E2E8F0" w:sz="4"/>
            </w:tcBorders>
            <w:shd w:fill="1A6B4A" w:val="clear"/>
            <w:tcMar>
              <w:top w:type="dxa" w:w="90"/>
              <w:left w:type="dxa" w:w="120"/>
              <w:bottom w:type="dxa" w:w="90"/>
              <w:right w:type="dxa" w:w="120"/>
            </w:tcMar>
          </w:tcPr>
          <w:p>
            <w:r>
              <w:rPr>
                <w:rFonts w:ascii="Calibri" w:cs="Calibri" w:eastAsia="Calibri" w:hAnsi="Calibri"/>
                <w:b/>
                <w:bCs/>
                <w:color w:val="FFFFFF"/>
                <w:sz w:val="18"/>
                <w:szCs w:val="18"/>
              </w:rPr>
              <w:t xml:space="preserve">Budget</w:t>
            </w:r>
          </w:p>
        </w:tc>
        <w:tc>
          <w:tcPr>
            <w:tcBorders>
              <w:top w:val="single" w:color="E2E8F0" w:sz="4"/>
              <w:left w:val="single" w:color="E2E8F0" w:sz="4"/>
              <w:bottom w:val="single" w:color="E2E8F0" w:sz="4"/>
              <w:right w:val="single" w:color="E2E8F0" w:sz="4"/>
            </w:tcBorders>
            <w:shd w:fill="1A6B4A" w:val="clear"/>
            <w:tcMar>
              <w:top w:type="dxa" w:w="90"/>
              <w:left w:type="dxa" w:w="120"/>
              <w:bottom w:type="dxa" w:w="90"/>
              <w:right w:type="dxa" w:w="120"/>
            </w:tcMar>
          </w:tcPr>
          <w:p>
            <w:r>
              <w:rPr>
                <w:rFonts w:ascii="Calibri" w:cs="Calibri" w:eastAsia="Calibri" w:hAnsi="Calibri"/>
                <w:b/>
                <w:bCs/>
                <w:color w:val="FFFFFF"/>
                <w:sz w:val="18"/>
                <w:szCs w:val="18"/>
              </w:rPr>
              <w:t xml:space="preserve">Actual</w:t>
            </w:r>
          </w:p>
        </w:tc>
        <w:tc>
          <w:tcPr>
            <w:tcBorders>
              <w:top w:val="single" w:color="E2E8F0" w:sz="4"/>
              <w:left w:val="single" w:color="E2E8F0" w:sz="4"/>
              <w:bottom w:val="single" w:color="E2E8F0" w:sz="4"/>
              <w:right w:val="single" w:color="E2E8F0" w:sz="4"/>
            </w:tcBorders>
            <w:shd w:fill="1A6B4A" w:val="clear"/>
            <w:tcMar>
              <w:top w:type="dxa" w:w="90"/>
              <w:left w:type="dxa" w:w="120"/>
              <w:bottom w:type="dxa" w:w="90"/>
              <w:right w:type="dxa" w:w="120"/>
            </w:tcMar>
          </w:tcPr>
          <w:p>
            <w:r>
              <w:rPr>
                <w:rFonts w:ascii="Calibri" w:cs="Calibri" w:eastAsia="Calibri" w:hAnsi="Calibri"/>
                <w:b/>
                <w:bCs/>
                <w:color w:val="FFFFFF"/>
                <w:sz w:val="18"/>
                <w:szCs w:val="18"/>
              </w:rPr>
              <w:t xml:space="preserve">Variance</w:t>
            </w:r>
          </w:p>
        </w:tc>
        <w:tc>
          <w:tcPr>
            <w:tcBorders>
              <w:top w:val="single" w:color="E2E8F0" w:sz="4"/>
              <w:left w:val="single" w:color="E2E8F0" w:sz="4"/>
              <w:bottom w:val="single" w:color="E2E8F0" w:sz="4"/>
              <w:right w:val="single" w:color="E2E8F0" w:sz="4"/>
            </w:tcBorders>
            <w:shd w:fill="1A6B4A" w:val="clear"/>
            <w:tcMar>
              <w:top w:type="dxa" w:w="90"/>
              <w:left w:type="dxa" w:w="120"/>
              <w:bottom w:type="dxa" w:w="90"/>
              <w:right w:type="dxa" w:w="120"/>
            </w:tcMar>
          </w:tcPr>
          <w:p>
            <w:r>
              <w:rPr>
                <w:rFonts w:ascii="Calibri" w:cs="Calibri" w:eastAsia="Calibri" w:hAnsi="Calibri"/>
                <w:b/>
                <w:bCs/>
                <w:color w:val="FFFFFF"/>
                <w:sz w:val="18"/>
                <w:szCs w:val="18"/>
              </w:rPr>
              <w:t xml:space="preserve">Var %</w:t>
            </w:r>
          </w:p>
        </w:tc>
        <w:tc>
          <w:tcPr>
            <w:tcBorders>
              <w:top w:val="single" w:color="E2E8F0" w:sz="4"/>
              <w:left w:val="single" w:color="E2E8F0" w:sz="4"/>
              <w:bottom w:val="single" w:color="E2E8F0" w:sz="4"/>
              <w:right w:val="single" w:color="E2E8F0" w:sz="4"/>
            </w:tcBorders>
            <w:shd w:fill="1A6B4A" w:val="clear"/>
            <w:tcMar>
              <w:top w:type="dxa" w:w="90"/>
              <w:left w:type="dxa" w:w="120"/>
              <w:bottom w:type="dxa" w:w="90"/>
              <w:right w:type="dxa" w:w="120"/>
            </w:tcMar>
          </w:tcPr>
          <w:p>
            <w:r>
              <w:rPr>
                <w:rFonts w:ascii="Calibri" w:cs="Calibri" w:eastAsia="Calibri" w:hAnsi="Calibri"/>
                <w:b/>
                <w:bCs/>
                <w:color w:val="FFFFFF"/>
                <w:sz w:val="18"/>
                <w:szCs w:val="18"/>
              </w:rPr>
              <w:t xml:space="preserve">RAG</w:t>
            </w:r>
          </w:p>
        </w:tc>
      </w:tr>
      <w:tr>
        <w:tc>
          <w:tcPr>
            <w:tcBorders>
              <w:top w:val="single" w:color="E2E8F0" w:sz="4"/>
              <w:left w:val="single" w:color="E2E8F0" w:sz="4"/>
              <w:bottom w:val="single" w:color="E2E8F0" w:sz="4"/>
              <w:right w:val="single" w:color="E2E8F0" w:sz="4"/>
            </w:tcBorders>
            <w:shd w:fill="E8F5F0" w:val="clear"/>
            <w:tcMar>
              <w:top w:type="dxa" w:w="90"/>
              <w:left w:type="dxa" w:w="120"/>
              <w:bottom w:type="dxa" w:w="90"/>
              <w:right w:type="dxa" w:w="120"/>
            </w:tcMar>
            <w:vAlign w:val="center"/>
          </w:tcPr>
          <w:p>
            <w:pPr>
              <w:jc w:val="left"/>
            </w:pPr>
            <w:r>
              <w:rPr>
                <w:rFonts w:ascii="Calibri" w:cs="Calibri" w:eastAsia="Calibri" w:hAnsi="Calibri"/>
                <w:b/>
                <w:bCs/>
                <w:color w:val="0F1419"/>
                <w:sz w:val="18"/>
                <w:szCs w:val="18"/>
              </w:rPr>
              <w:t xml:space="preserve">Digital Payments</w:t>
            </w:r>
          </w:p>
        </w:tc>
        <w:tc>
          <w:tcPr>
            <w:tcBorders>
              <w:top w:val="single" w:color="E2E8F0" w:sz="4"/>
              <w:left w:val="single" w:color="E2E8F0" w:sz="4"/>
              <w:bottom w:val="single" w:color="E2E8F0" w:sz="4"/>
              <w:right w:val="single" w:color="E2E8F0" w:sz="4"/>
            </w:tcBorders>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0F1419"/>
                <w:sz w:val="18"/>
                <w:szCs w:val="18"/>
              </w:rPr>
              <w:t xml:space="preserve">11,010</w:t>
            </w:r>
          </w:p>
        </w:tc>
        <w:tc>
          <w:tcPr>
            <w:tcBorders>
              <w:top w:val="single" w:color="E2E8F0" w:sz="4"/>
              <w:left w:val="single" w:color="E2E8F0" w:sz="4"/>
              <w:bottom w:val="single" w:color="E2E8F0" w:sz="4"/>
              <w:right w:val="single" w:color="E2E8F0" w:sz="4"/>
            </w:tcBorders>
            <w:shd w:fill="E8F5F0" w:val="clear"/>
            <w:tcMar>
              <w:top w:type="dxa" w:w="90"/>
              <w:left w:type="dxa" w:w="120"/>
              <w:bottom w:type="dxa" w:w="90"/>
              <w:right w:type="dxa" w:w="120"/>
            </w:tcMar>
            <w:vAlign w:val="center"/>
          </w:tcPr>
          <w:p>
            <w:pPr>
              <w:jc w:val="left"/>
            </w:pPr>
            <w:r>
              <w:rPr>
                <w:rFonts w:ascii="Calibri" w:cs="Calibri" w:eastAsia="Calibri" w:hAnsi="Calibri"/>
                <w:b w:val="false"/>
                <w:bCs w:val="false"/>
                <w:color w:val="0F1419"/>
                <w:sz w:val="18"/>
                <w:szCs w:val="18"/>
              </w:rPr>
              <w:t xml:space="preserve">13,142</w:t>
            </w:r>
          </w:p>
        </w:tc>
        <w:tc>
          <w:tcPr>
            <w:tcBorders>
              <w:top w:val="single" w:color="E2E8F0" w:sz="4"/>
              <w:left w:val="single" w:color="E2E8F0" w:sz="4"/>
              <w:bottom w:val="single" w:color="E2E8F0" w:sz="4"/>
              <w:right w:val="single" w:color="E2E8F0" w:sz="4"/>
            </w:tcBorders>
            <w:shd w:fill="E8F5F0" w:val="clear"/>
            <w:tcMar>
              <w:top w:type="dxa" w:w="90"/>
              <w:left w:type="dxa" w:w="120"/>
              <w:bottom w:type="dxa" w:w="90"/>
              <w:right w:type="dxa" w:w="120"/>
            </w:tcMar>
            <w:vAlign w:val="center"/>
          </w:tcPr>
          <w:p>
            <w:pPr>
              <w:jc w:val="center"/>
            </w:pPr>
            <w:r>
              <w:rPr>
                <w:rFonts w:ascii="Calibri" w:cs="Calibri" w:eastAsia="Calibri" w:hAnsi="Calibri"/>
                <w:b/>
                <w:bCs/>
                <w:color w:val="1A6B4A"/>
                <w:sz w:val="18"/>
                <w:szCs w:val="18"/>
              </w:rPr>
              <w:t xml:space="preserve">+2,132</w:t>
            </w:r>
          </w:p>
        </w:tc>
        <w:tc>
          <w:tcPr>
            <w:tcBorders>
              <w:top w:val="single" w:color="E2E8F0" w:sz="4"/>
              <w:left w:val="single" w:color="E2E8F0" w:sz="4"/>
              <w:bottom w:val="single" w:color="E2E8F0" w:sz="4"/>
              <w:right w:val="single" w:color="E2E8F0" w:sz="4"/>
            </w:tcBorders>
            <w:shd w:fill="E8F5F0" w:val="clear"/>
            <w:tcMar>
              <w:top w:type="dxa" w:w="90"/>
              <w:left w:type="dxa" w:w="120"/>
              <w:bottom w:type="dxa" w:w="90"/>
              <w:right w:type="dxa" w:w="120"/>
            </w:tcMar>
            <w:vAlign w:val="center"/>
          </w:tcPr>
          <w:p>
            <w:pPr>
              <w:jc w:val="center"/>
            </w:pPr>
            <w:r>
              <w:rPr>
                <w:rFonts w:ascii="Calibri" w:cs="Calibri" w:eastAsia="Calibri" w:hAnsi="Calibri"/>
                <w:b/>
                <w:bCs/>
                <w:color w:val="1A6B4A"/>
                <w:sz w:val="18"/>
                <w:szCs w:val="18"/>
              </w:rPr>
              <w:t xml:space="preserve">+19.4%</w:t>
            </w:r>
          </w:p>
        </w:tc>
        <w:tc>
          <w:tcPr>
            <w:tcBorders>
              <w:top w:val="single" w:color="E2E8F0" w:sz="4"/>
              <w:left w:val="single" w:color="E2E8F0" w:sz="4"/>
              <w:bottom w:val="single" w:color="E2E8F0" w:sz="4"/>
              <w:right w:val="single" w:color="E2E8F0" w:sz="4"/>
            </w:tcBorders>
            <w:shd w:fill="E8F5F0" w:val="clear"/>
            <w:tcMar>
              <w:top w:type="dxa" w:w="90"/>
              <w:left w:type="dxa" w:w="120"/>
              <w:bottom w:type="dxa" w:w="90"/>
              <w:right w:type="dxa" w:w="120"/>
            </w:tcMar>
            <w:vAlign w:val="center"/>
          </w:tcPr>
          <w:p>
            <w:pPr>
              <w:jc w:val="left"/>
            </w:pPr>
            <w:r>
              <w:rPr>
                <w:rFonts w:ascii="Calibri" w:cs="Calibri" w:eastAsia="Calibri" w:hAnsi="Calibri"/>
                <w:b w:val="false"/>
                <w:bCs w:val="false"/>
                <w:color w:val="0F1419"/>
                <w:sz w:val="18"/>
                <w:szCs w:val="18"/>
              </w:rPr>
              <w:t xml:space="preserve">🟢</w:t>
            </w:r>
          </w:p>
        </w:tc>
      </w:tr>
      <w:tr>
        <w:tc>
          <w:tcPr>
            <w:tcBorders>
              <w:top w:val="single" w:color="E2E8F0" w:sz="4"/>
              <w:left w:val="single" w:color="E2E8F0" w:sz="4"/>
              <w:bottom w:val="single" w:color="E2E8F0" w:sz="4"/>
              <w:right w:val="single" w:color="E2E8F0" w:sz="4"/>
            </w:tcBorders>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0F1419"/>
                <w:sz w:val="18"/>
                <w:szCs w:val="18"/>
              </w:rPr>
              <w:t xml:space="preserve">Wealth Management</w:t>
            </w:r>
          </w:p>
        </w:tc>
        <w:tc>
          <w:tcPr>
            <w:tcBorders>
              <w:top w:val="single" w:color="E2E8F0" w:sz="4"/>
              <w:left w:val="single" w:color="E2E8F0" w:sz="4"/>
              <w:bottom w:val="single" w:color="E2E8F0" w:sz="4"/>
              <w:right w:val="single" w:color="E2E8F0" w:sz="4"/>
            </w:tcBorders>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0F1419"/>
                <w:sz w:val="18"/>
                <w:szCs w:val="18"/>
              </w:rPr>
              <w:t xml:space="preserve">36,150</w:t>
            </w:r>
          </w:p>
        </w:tc>
        <w:tc>
          <w:tcPr>
            <w:tcBorders>
              <w:top w:val="single" w:color="E2E8F0" w:sz="4"/>
              <w:left w:val="single" w:color="E2E8F0" w:sz="4"/>
              <w:bottom w:val="single" w:color="E2E8F0" w:sz="4"/>
              <w:right w:val="single" w:color="E2E8F0" w:sz="4"/>
            </w:tcBorders>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0F1419"/>
                <w:sz w:val="18"/>
                <w:szCs w:val="18"/>
              </w:rPr>
              <w:t xml:space="preserve">39,241</w:t>
            </w:r>
          </w:p>
        </w:tc>
        <w:tc>
          <w:tcPr>
            <w:tcBorders>
              <w:top w:val="single" w:color="E2E8F0" w:sz="4"/>
              <w:left w:val="single" w:color="E2E8F0" w:sz="4"/>
              <w:bottom w:val="single" w:color="E2E8F0" w:sz="4"/>
              <w:right w:val="single" w:color="E2E8F0" w:sz="4"/>
            </w:tcBorders>
            <w:shd w:fill="FFFFFF" w:val="clear"/>
            <w:tcMar>
              <w:top w:type="dxa" w:w="90"/>
              <w:left w:type="dxa" w:w="120"/>
              <w:bottom w:type="dxa" w:w="90"/>
              <w:right w:type="dxa" w:w="120"/>
            </w:tcMar>
            <w:vAlign w:val="center"/>
          </w:tcPr>
          <w:p>
            <w:pPr>
              <w:jc w:val="center"/>
            </w:pPr>
            <w:r>
              <w:rPr>
                <w:rFonts w:ascii="Calibri" w:cs="Calibri" w:eastAsia="Calibri" w:hAnsi="Calibri"/>
                <w:b/>
                <w:bCs/>
                <w:color w:val="1A6B4A"/>
                <w:sz w:val="18"/>
                <w:szCs w:val="18"/>
              </w:rPr>
              <w:t xml:space="preserve">+3,091</w:t>
            </w:r>
          </w:p>
        </w:tc>
        <w:tc>
          <w:tcPr>
            <w:tcBorders>
              <w:top w:val="single" w:color="E2E8F0" w:sz="4"/>
              <w:left w:val="single" w:color="E2E8F0" w:sz="4"/>
              <w:bottom w:val="single" w:color="E2E8F0" w:sz="4"/>
              <w:right w:val="single" w:color="E2E8F0" w:sz="4"/>
            </w:tcBorders>
            <w:shd w:fill="FFFFFF" w:val="clear"/>
            <w:tcMar>
              <w:top w:type="dxa" w:w="90"/>
              <w:left w:type="dxa" w:w="120"/>
              <w:bottom w:type="dxa" w:w="90"/>
              <w:right w:type="dxa" w:w="120"/>
            </w:tcMar>
            <w:vAlign w:val="center"/>
          </w:tcPr>
          <w:p>
            <w:pPr>
              <w:jc w:val="center"/>
            </w:pPr>
            <w:r>
              <w:rPr>
                <w:rFonts w:ascii="Calibri" w:cs="Calibri" w:eastAsia="Calibri" w:hAnsi="Calibri"/>
                <w:b/>
                <w:bCs/>
                <w:color w:val="1A6B4A"/>
                <w:sz w:val="18"/>
                <w:szCs w:val="18"/>
              </w:rPr>
              <w:t xml:space="preserve">+8.6%</w:t>
            </w:r>
          </w:p>
        </w:tc>
        <w:tc>
          <w:tcPr>
            <w:tcBorders>
              <w:top w:val="single" w:color="E2E8F0" w:sz="4"/>
              <w:left w:val="single" w:color="E2E8F0" w:sz="4"/>
              <w:bottom w:val="single" w:color="E2E8F0" w:sz="4"/>
              <w:right w:val="single" w:color="E2E8F0" w:sz="4"/>
            </w:tcBorders>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0F1419"/>
                <w:sz w:val="18"/>
                <w:szCs w:val="18"/>
              </w:rPr>
              <w:t xml:space="preserve">🟢</w:t>
            </w:r>
          </w:p>
        </w:tc>
      </w:tr>
      <w:tr>
        <w:tc>
          <w:tcPr>
            <w:tcBorders>
              <w:top w:val="single" w:color="E2E8F0" w:sz="4"/>
              <w:left w:val="single" w:color="E2E8F0" w:sz="4"/>
              <w:bottom w:val="single" w:color="E2E8F0" w:sz="4"/>
              <w:right w:val="single" w:color="E2E8F0" w:sz="4"/>
            </w:tcBorders>
            <w:shd w:fill="F0F4F8" w:val="clear"/>
            <w:tcMar>
              <w:top w:type="dxa" w:w="90"/>
              <w:left w:type="dxa" w:w="120"/>
              <w:bottom w:type="dxa" w:w="90"/>
              <w:right w:type="dxa" w:w="120"/>
            </w:tcMar>
            <w:vAlign w:val="center"/>
          </w:tcPr>
          <w:p>
            <w:pPr>
              <w:jc w:val="left"/>
            </w:pPr>
            <w:r>
              <w:rPr>
                <w:rFonts w:ascii="Calibri" w:cs="Calibri" w:eastAsia="Calibri" w:hAnsi="Calibri"/>
                <w:b w:val="false"/>
                <w:bCs w:val="false"/>
                <w:color w:val="0F1419"/>
                <w:sz w:val="18"/>
                <w:szCs w:val="18"/>
              </w:rPr>
              <w:t xml:space="preserve">Retail Banking</w:t>
            </w:r>
          </w:p>
        </w:tc>
        <w:tc>
          <w:tcPr>
            <w:tcBorders>
              <w:top w:val="single" w:color="E2E8F0" w:sz="4"/>
              <w:left w:val="single" w:color="E2E8F0" w:sz="4"/>
              <w:bottom w:val="single" w:color="E2E8F0" w:sz="4"/>
              <w:right w:val="single" w:color="E2E8F0" w:sz="4"/>
            </w:tcBorders>
            <w:shd w:fill="F0F4F8" w:val="clear"/>
            <w:tcMar>
              <w:top w:type="dxa" w:w="90"/>
              <w:left w:type="dxa" w:w="120"/>
              <w:bottom w:type="dxa" w:w="90"/>
              <w:right w:type="dxa" w:w="120"/>
            </w:tcMar>
            <w:vAlign w:val="center"/>
          </w:tcPr>
          <w:p>
            <w:pPr>
              <w:jc w:val="left"/>
            </w:pPr>
            <w:r>
              <w:rPr>
                <w:rFonts w:ascii="Calibri" w:cs="Calibri" w:eastAsia="Calibri" w:hAnsi="Calibri"/>
                <w:b w:val="false"/>
                <w:bCs w:val="false"/>
                <w:color w:val="0F1419"/>
                <w:sz w:val="18"/>
                <w:szCs w:val="18"/>
              </w:rPr>
              <w:t xml:space="preserve">54,550</w:t>
            </w:r>
          </w:p>
        </w:tc>
        <w:tc>
          <w:tcPr>
            <w:tcBorders>
              <w:top w:val="single" w:color="E2E8F0" w:sz="4"/>
              <w:left w:val="single" w:color="E2E8F0" w:sz="4"/>
              <w:bottom w:val="single" w:color="E2E8F0" w:sz="4"/>
              <w:right w:val="single" w:color="E2E8F0" w:sz="4"/>
            </w:tcBorders>
            <w:shd w:fill="F0F4F8" w:val="clear"/>
            <w:tcMar>
              <w:top w:type="dxa" w:w="90"/>
              <w:left w:type="dxa" w:w="120"/>
              <w:bottom w:type="dxa" w:w="90"/>
              <w:right w:type="dxa" w:w="120"/>
            </w:tcMar>
            <w:vAlign w:val="center"/>
          </w:tcPr>
          <w:p>
            <w:pPr>
              <w:jc w:val="left"/>
            </w:pPr>
            <w:r>
              <w:rPr>
                <w:rFonts w:ascii="Calibri" w:cs="Calibri" w:eastAsia="Calibri" w:hAnsi="Calibri"/>
                <w:b w:val="false"/>
                <w:bCs w:val="false"/>
                <w:color w:val="0F1419"/>
                <w:sz w:val="18"/>
                <w:szCs w:val="18"/>
              </w:rPr>
              <w:t xml:space="preserve">54,218</w:t>
            </w:r>
          </w:p>
        </w:tc>
        <w:tc>
          <w:tcPr>
            <w:tcBorders>
              <w:top w:val="single" w:color="E2E8F0" w:sz="4"/>
              <w:left w:val="single" w:color="E2E8F0" w:sz="4"/>
              <w:bottom w:val="single" w:color="E2E8F0" w:sz="4"/>
              <w:right w:val="single" w:color="E2E8F0" w:sz="4"/>
            </w:tcBorders>
            <w:shd w:fill="F0F4F8" w:val="clear"/>
            <w:tcMar>
              <w:top w:type="dxa" w:w="90"/>
              <w:left w:type="dxa" w:w="120"/>
              <w:bottom w:type="dxa" w:w="90"/>
              <w:right w:type="dxa" w:w="120"/>
            </w:tcMar>
            <w:vAlign w:val="center"/>
          </w:tcPr>
          <w:p>
            <w:pPr>
              <w:jc w:val="center"/>
            </w:pPr>
            <w:r>
              <w:rPr>
                <w:rFonts w:ascii="Calibri" w:cs="Calibri" w:eastAsia="Calibri" w:hAnsi="Calibri"/>
                <w:b w:val="false"/>
                <w:bCs w:val="false"/>
                <w:color w:val="E07B39"/>
                <w:sz w:val="18"/>
                <w:szCs w:val="18"/>
              </w:rPr>
              <w:t xml:space="preserve">-332</w:t>
            </w:r>
          </w:p>
        </w:tc>
        <w:tc>
          <w:tcPr>
            <w:tcBorders>
              <w:top w:val="single" w:color="E2E8F0" w:sz="4"/>
              <w:left w:val="single" w:color="E2E8F0" w:sz="4"/>
              <w:bottom w:val="single" w:color="E2E8F0" w:sz="4"/>
              <w:right w:val="single" w:color="E2E8F0" w:sz="4"/>
            </w:tcBorders>
            <w:shd w:fill="F0F4F8" w:val="clear"/>
            <w:tcMar>
              <w:top w:type="dxa" w:w="90"/>
              <w:left w:type="dxa" w:w="120"/>
              <w:bottom w:type="dxa" w:w="90"/>
              <w:right w:type="dxa" w:w="120"/>
            </w:tcMar>
            <w:vAlign w:val="center"/>
          </w:tcPr>
          <w:p>
            <w:pPr>
              <w:jc w:val="center"/>
            </w:pPr>
            <w:r>
              <w:rPr>
                <w:rFonts w:ascii="Calibri" w:cs="Calibri" w:eastAsia="Calibri" w:hAnsi="Calibri"/>
                <w:b w:val="false"/>
                <w:bCs w:val="false"/>
                <w:color w:val="E07B39"/>
                <w:sz w:val="18"/>
                <w:szCs w:val="18"/>
              </w:rPr>
              <w:t xml:space="preserve">-0.6%</w:t>
            </w:r>
          </w:p>
        </w:tc>
        <w:tc>
          <w:tcPr>
            <w:tcBorders>
              <w:top w:val="single" w:color="E2E8F0" w:sz="4"/>
              <w:left w:val="single" w:color="E2E8F0" w:sz="4"/>
              <w:bottom w:val="single" w:color="E2E8F0" w:sz="4"/>
              <w:right w:val="single" w:color="E2E8F0" w:sz="4"/>
            </w:tcBorders>
            <w:shd w:fill="F0F4F8" w:val="clear"/>
            <w:tcMar>
              <w:top w:type="dxa" w:w="90"/>
              <w:left w:type="dxa" w:w="120"/>
              <w:bottom w:type="dxa" w:w="90"/>
              <w:right w:type="dxa" w:w="120"/>
            </w:tcMar>
            <w:vAlign w:val="center"/>
          </w:tcPr>
          <w:p>
            <w:pPr>
              <w:jc w:val="left"/>
            </w:pPr>
            <w:r>
              <w:rPr>
                <w:rFonts w:ascii="Calibri" w:cs="Calibri" w:eastAsia="Calibri" w:hAnsi="Calibri"/>
                <w:b w:val="false"/>
                <w:bCs w:val="false"/>
                <w:color w:val="0F1419"/>
                <w:sz w:val="18"/>
                <w:szCs w:val="18"/>
              </w:rPr>
              <w:t xml:space="preserve">🟡</w:t>
            </w:r>
          </w:p>
        </w:tc>
      </w:tr>
      <w:tr>
        <w:tc>
          <w:tcPr>
            <w:tcBorders>
              <w:top w:val="single" w:color="E2E8F0" w:sz="4"/>
              <w:left w:val="single" w:color="E2E8F0" w:sz="4"/>
              <w:bottom w:val="single" w:color="E2E8F0" w:sz="4"/>
              <w:right w:val="single" w:color="E2E8F0" w:sz="4"/>
            </w:tcBorders>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0F1419"/>
                <w:sz w:val="18"/>
                <w:szCs w:val="18"/>
              </w:rPr>
              <w:t xml:space="preserve">Insurance</w:t>
            </w:r>
          </w:p>
        </w:tc>
        <w:tc>
          <w:tcPr>
            <w:tcBorders>
              <w:top w:val="single" w:color="E2E8F0" w:sz="4"/>
              <w:left w:val="single" w:color="E2E8F0" w:sz="4"/>
              <w:bottom w:val="single" w:color="E2E8F0" w:sz="4"/>
              <w:right w:val="single" w:color="E2E8F0" w:sz="4"/>
            </w:tcBorders>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0F1419"/>
                <w:sz w:val="18"/>
                <w:szCs w:val="18"/>
              </w:rPr>
              <w:t xml:space="preserve">15,810</w:t>
            </w:r>
          </w:p>
        </w:tc>
        <w:tc>
          <w:tcPr>
            <w:tcBorders>
              <w:top w:val="single" w:color="E2E8F0" w:sz="4"/>
              <w:left w:val="single" w:color="E2E8F0" w:sz="4"/>
              <w:bottom w:val="single" w:color="E2E8F0" w:sz="4"/>
              <w:right w:val="single" w:color="E2E8F0" w:sz="4"/>
            </w:tcBorders>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0F1419"/>
                <w:sz w:val="18"/>
                <w:szCs w:val="18"/>
              </w:rPr>
              <w:t xml:space="preserve">15,905</w:t>
            </w:r>
          </w:p>
        </w:tc>
        <w:tc>
          <w:tcPr>
            <w:tcBorders>
              <w:top w:val="single" w:color="E2E8F0" w:sz="4"/>
              <w:left w:val="single" w:color="E2E8F0" w:sz="4"/>
              <w:bottom w:val="single" w:color="E2E8F0" w:sz="4"/>
              <w:right w:val="single" w:color="E2E8F0" w:sz="4"/>
            </w:tcBorders>
            <w:shd w:fill="FFFFFF" w:val="clear"/>
            <w:tcMar>
              <w:top w:type="dxa" w:w="90"/>
              <w:left w:type="dxa" w:w="120"/>
              <w:bottom w:type="dxa" w:w="90"/>
              <w:right w:type="dxa" w:w="120"/>
            </w:tcMar>
            <w:vAlign w:val="center"/>
          </w:tcPr>
          <w:p>
            <w:pPr>
              <w:jc w:val="center"/>
            </w:pPr>
            <w:r>
              <w:rPr>
                <w:rFonts w:ascii="Calibri" w:cs="Calibri" w:eastAsia="Calibri" w:hAnsi="Calibri"/>
                <w:b w:val="false"/>
                <w:bCs w:val="false"/>
                <w:color w:val="1A6B4A"/>
                <w:sz w:val="18"/>
                <w:szCs w:val="18"/>
              </w:rPr>
              <w:t xml:space="preserve">+95</w:t>
            </w:r>
          </w:p>
        </w:tc>
        <w:tc>
          <w:tcPr>
            <w:tcBorders>
              <w:top w:val="single" w:color="E2E8F0" w:sz="4"/>
              <w:left w:val="single" w:color="E2E8F0" w:sz="4"/>
              <w:bottom w:val="single" w:color="E2E8F0" w:sz="4"/>
              <w:right w:val="single" w:color="E2E8F0" w:sz="4"/>
            </w:tcBorders>
            <w:shd w:fill="FFFFFF" w:val="clear"/>
            <w:tcMar>
              <w:top w:type="dxa" w:w="90"/>
              <w:left w:type="dxa" w:w="120"/>
              <w:bottom w:type="dxa" w:w="90"/>
              <w:right w:type="dxa" w:w="120"/>
            </w:tcMar>
            <w:vAlign w:val="center"/>
          </w:tcPr>
          <w:p>
            <w:pPr>
              <w:jc w:val="center"/>
            </w:pPr>
            <w:r>
              <w:rPr>
                <w:rFonts w:ascii="Calibri" w:cs="Calibri" w:eastAsia="Calibri" w:hAnsi="Calibri"/>
                <w:b w:val="false"/>
                <w:bCs w:val="false"/>
                <w:color w:val="1A6B4A"/>
                <w:sz w:val="18"/>
                <w:szCs w:val="18"/>
              </w:rPr>
              <w:t xml:space="preserve">+0.6%</w:t>
            </w:r>
          </w:p>
        </w:tc>
        <w:tc>
          <w:tcPr>
            <w:tcBorders>
              <w:top w:val="single" w:color="E2E8F0" w:sz="4"/>
              <w:left w:val="single" w:color="E2E8F0" w:sz="4"/>
              <w:bottom w:val="single" w:color="E2E8F0" w:sz="4"/>
              <w:right w:val="single" w:color="E2E8F0" w:sz="4"/>
            </w:tcBorders>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0F1419"/>
                <w:sz w:val="18"/>
                <w:szCs w:val="18"/>
              </w:rPr>
              <w:t xml:space="preserve">🟢</w:t>
            </w:r>
          </w:p>
        </w:tc>
      </w:tr>
      <w:tr>
        <w:tc>
          <w:tcPr>
            <w:tcBorders>
              <w:top w:val="single" w:color="E2E8F0" w:sz="4"/>
              <w:left w:val="single" w:color="E2E8F0" w:sz="4"/>
              <w:bottom w:val="single" w:color="E2E8F0" w:sz="4"/>
              <w:right w:val="single" w:color="E2E8F0" w:sz="4"/>
            </w:tcBorders>
            <w:shd w:fill="FEF9EC" w:val="clear"/>
            <w:tcMar>
              <w:top w:type="dxa" w:w="90"/>
              <w:left w:type="dxa" w:w="120"/>
              <w:bottom w:type="dxa" w:w="90"/>
              <w:right w:type="dxa" w:w="120"/>
            </w:tcMar>
            <w:vAlign w:val="center"/>
          </w:tcPr>
          <w:p>
            <w:pPr>
              <w:jc w:val="left"/>
            </w:pPr>
            <w:r>
              <w:rPr>
                <w:rFonts w:ascii="Calibri" w:cs="Calibri" w:eastAsia="Calibri" w:hAnsi="Calibri"/>
                <w:b w:val="false"/>
                <w:bCs w:val="false"/>
                <w:color w:val="0F1419"/>
                <w:sz w:val="18"/>
                <w:szCs w:val="18"/>
              </w:rPr>
              <w:t xml:space="preserve">Foreign Exchange</w:t>
            </w:r>
          </w:p>
        </w:tc>
        <w:tc>
          <w:tcPr>
            <w:tcBorders>
              <w:top w:val="single" w:color="E2E8F0" w:sz="4"/>
              <w:left w:val="single" w:color="E2E8F0" w:sz="4"/>
              <w:bottom w:val="single" w:color="E2E8F0" w:sz="4"/>
              <w:right w:val="single" w:color="E2E8F0" w:sz="4"/>
            </w:tcBorders>
            <w:shd w:fill="FEF9EC" w:val="clear"/>
            <w:tcMar>
              <w:top w:type="dxa" w:w="90"/>
              <w:left w:type="dxa" w:w="120"/>
              <w:bottom w:type="dxa" w:w="90"/>
              <w:right w:type="dxa" w:w="120"/>
            </w:tcMar>
            <w:vAlign w:val="center"/>
          </w:tcPr>
          <w:p>
            <w:pPr>
              <w:jc w:val="left"/>
            </w:pPr>
            <w:r>
              <w:rPr>
                <w:rFonts w:ascii="Calibri" w:cs="Calibri" w:eastAsia="Calibri" w:hAnsi="Calibri"/>
                <w:b w:val="false"/>
                <w:bCs w:val="false"/>
                <w:color w:val="0F1419"/>
                <w:sz w:val="18"/>
                <w:szCs w:val="18"/>
              </w:rPr>
              <w:t xml:space="preserve">5,320</w:t>
            </w:r>
          </w:p>
        </w:tc>
        <w:tc>
          <w:tcPr>
            <w:tcBorders>
              <w:top w:val="single" w:color="E2E8F0" w:sz="4"/>
              <w:left w:val="single" w:color="E2E8F0" w:sz="4"/>
              <w:bottom w:val="single" w:color="E2E8F0" w:sz="4"/>
              <w:right w:val="single" w:color="E2E8F0" w:sz="4"/>
            </w:tcBorders>
            <w:shd w:fill="FEF9EC" w:val="clear"/>
            <w:tcMar>
              <w:top w:type="dxa" w:w="90"/>
              <w:left w:type="dxa" w:w="120"/>
              <w:bottom w:type="dxa" w:w="90"/>
              <w:right w:type="dxa" w:w="120"/>
            </w:tcMar>
            <w:vAlign w:val="center"/>
          </w:tcPr>
          <w:p>
            <w:pPr>
              <w:jc w:val="left"/>
            </w:pPr>
            <w:r>
              <w:rPr>
                <w:rFonts w:ascii="Calibri" w:cs="Calibri" w:eastAsia="Calibri" w:hAnsi="Calibri"/>
                <w:b w:val="false"/>
                <w:bCs w:val="false"/>
                <w:color w:val="0F1419"/>
                <w:sz w:val="18"/>
                <w:szCs w:val="18"/>
              </w:rPr>
              <w:t xml:space="preserve">5,042</w:t>
            </w:r>
          </w:p>
        </w:tc>
        <w:tc>
          <w:tcPr>
            <w:tcBorders>
              <w:top w:val="single" w:color="E2E8F0" w:sz="4"/>
              <w:left w:val="single" w:color="E2E8F0" w:sz="4"/>
              <w:bottom w:val="single" w:color="E2E8F0" w:sz="4"/>
              <w:right w:val="single" w:color="E2E8F0" w:sz="4"/>
            </w:tcBorders>
            <w:shd w:fill="FEF9EC" w:val="clear"/>
            <w:tcMar>
              <w:top w:type="dxa" w:w="90"/>
              <w:left w:type="dxa" w:w="120"/>
              <w:bottom w:type="dxa" w:w="90"/>
              <w:right w:type="dxa" w:w="120"/>
            </w:tcMar>
            <w:vAlign w:val="center"/>
          </w:tcPr>
          <w:p>
            <w:pPr>
              <w:jc w:val="center"/>
            </w:pPr>
            <w:r>
              <w:rPr>
                <w:rFonts w:ascii="Calibri" w:cs="Calibri" w:eastAsia="Calibri" w:hAnsi="Calibri"/>
                <w:b w:val="false"/>
                <w:bCs w:val="false"/>
                <w:color w:val="E07B39"/>
                <w:sz w:val="18"/>
                <w:szCs w:val="18"/>
              </w:rPr>
              <w:t xml:space="preserve">-278</w:t>
            </w:r>
          </w:p>
        </w:tc>
        <w:tc>
          <w:tcPr>
            <w:tcBorders>
              <w:top w:val="single" w:color="E2E8F0" w:sz="4"/>
              <w:left w:val="single" w:color="E2E8F0" w:sz="4"/>
              <w:bottom w:val="single" w:color="E2E8F0" w:sz="4"/>
              <w:right w:val="single" w:color="E2E8F0" w:sz="4"/>
            </w:tcBorders>
            <w:shd w:fill="FEF9EC" w:val="clear"/>
            <w:tcMar>
              <w:top w:type="dxa" w:w="90"/>
              <w:left w:type="dxa" w:w="120"/>
              <w:bottom w:type="dxa" w:w="90"/>
              <w:right w:type="dxa" w:w="120"/>
            </w:tcMar>
            <w:vAlign w:val="center"/>
          </w:tcPr>
          <w:p>
            <w:pPr>
              <w:jc w:val="center"/>
            </w:pPr>
            <w:r>
              <w:rPr>
                <w:rFonts w:ascii="Calibri" w:cs="Calibri" w:eastAsia="Calibri" w:hAnsi="Calibri"/>
                <w:b w:val="false"/>
                <w:bCs w:val="false"/>
                <w:color w:val="E07B39"/>
                <w:sz w:val="18"/>
                <w:szCs w:val="18"/>
              </w:rPr>
              <w:t xml:space="preserve">-5.2%</w:t>
            </w:r>
          </w:p>
        </w:tc>
        <w:tc>
          <w:tcPr>
            <w:tcBorders>
              <w:top w:val="single" w:color="E2E8F0" w:sz="4"/>
              <w:left w:val="single" w:color="E2E8F0" w:sz="4"/>
              <w:bottom w:val="single" w:color="E2E8F0" w:sz="4"/>
              <w:right w:val="single" w:color="E2E8F0" w:sz="4"/>
            </w:tcBorders>
            <w:shd w:fill="FEF9EC" w:val="clear"/>
            <w:tcMar>
              <w:top w:type="dxa" w:w="90"/>
              <w:left w:type="dxa" w:w="120"/>
              <w:bottom w:type="dxa" w:w="90"/>
              <w:right w:type="dxa" w:w="120"/>
            </w:tcMar>
            <w:vAlign w:val="center"/>
          </w:tcPr>
          <w:p>
            <w:pPr>
              <w:jc w:val="left"/>
            </w:pPr>
            <w:r>
              <w:rPr>
                <w:rFonts w:ascii="Calibri" w:cs="Calibri" w:eastAsia="Calibri" w:hAnsi="Calibri"/>
                <w:b w:val="false"/>
                <w:bCs w:val="false"/>
                <w:color w:val="0F1419"/>
                <w:sz w:val="18"/>
                <w:szCs w:val="18"/>
              </w:rPr>
              <w:t xml:space="preserve">🟡</w:t>
            </w:r>
          </w:p>
        </w:tc>
      </w:tr>
      <w:tr>
        <w:tc>
          <w:tcPr>
            <w:tcBorders>
              <w:top w:val="single" w:color="E2E8F0" w:sz="4"/>
              <w:left w:val="single" w:color="E2E8F0" w:sz="4"/>
              <w:bottom w:val="single" w:color="E2E8F0" w:sz="4"/>
              <w:right w:val="single" w:color="E2E8F0" w:sz="4"/>
            </w:tcBorders>
            <w:shd w:fill="FDF2F2" w:val="clear"/>
            <w:tcMar>
              <w:top w:type="dxa" w:w="90"/>
              <w:left w:type="dxa" w:w="120"/>
              <w:bottom w:type="dxa" w:w="90"/>
              <w:right w:type="dxa" w:w="120"/>
            </w:tcMar>
            <w:vAlign w:val="center"/>
          </w:tcPr>
          <w:p>
            <w:pPr>
              <w:jc w:val="left"/>
            </w:pPr>
            <w:r>
              <w:rPr>
                <w:rFonts w:ascii="Calibri" w:cs="Calibri" w:eastAsia="Calibri" w:hAnsi="Calibri"/>
                <w:b/>
                <w:bCs/>
                <w:color w:val="0F1419"/>
                <w:sz w:val="18"/>
                <w:szCs w:val="18"/>
              </w:rPr>
              <w:t xml:space="preserve">Business Lending</w:t>
            </w:r>
          </w:p>
        </w:tc>
        <w:tc>
          <w:tcPr>
            <w:tcBorders>
              <w:top w:val="single" w:color="E2E8F0" w:sz="4"/>
              <w:left w:val="single" w:color="E2E8F0" w:sz="4"/>
              <w:bottom w:val="single" w:color="E2E8F0" w:sz="4"/>
              <w:right w:val="single" w:color="E2E8F0" w:sz="4"/>
            </w:tcBorders>
            <w:shd w:fill="FDF2F2" w:val="clear"/>
            <w:tcMar>
              <w:top w:type="dxa" w:w="90"/>
              <w:left w:type="dxa" w:w="120"/>
              <w:bottom w:type="dxa" w:w="90"/>
              <w:right w:type="dxa" w:w="120"/>
            </w:tcMar>
            <w:vAlign w:val="center"/>
          </w:tcPr>
          <w:p>
            <w:pPr>
              <w:jc w:val="left"/>
            </w:pPr>
            <w:r>
              <w:rPr>
                <w:rFonts w:ascii="Calibri" w:cs="Calibri" w:eastAsia="Calibri" w:hAnsi="Calibri"/>
                <w:b w:val="false"/>
                <w:bCs w:val="false"/>
                <w:color w:val="0F1419"/>
                <w:sz w:val="18"/>
                <w:szCs w:val="18"/>
              </w:rPr>
              <w:t xml:space="preserve">26,170</w:t>
            </w:r>
          </w:p>
        </w:tc>
        <w:tc>
          <w:tcPr>
            <w:tcBorders>
              <w:top w:val="single" w:color="E2E8F0" w:sz="4"/>
              <w:left w:val="single" w:color="E2E8F0" w:sz="4"/>
              <w:bottom w:val="single" w:color="E2E8F0" w:sz="4"/>
              <w:right w:val="single" w:color="E2E8F0" w:sz="4"/>
            </w:tcBorders>
            <w:shd w:fill="FDF2F2" w:val="clear"/>
            <w:tcMar>
              <w:top w:type="dxa" w:w="90"/>
              <w:left w:type="dxa" w:w="120"/>
              <w:bottom w:type="dxa" w:w="90"/>
              <w:right w:type="dxa" w:w="120"/>
            </w:tcMar>
            <w:vAlign w:val="center"/>
          </w:tcPr>
          <w:p>
            <w:pPr>
              <w:jc w:val="left"/>
            </w:pPr>
            <w:r>
              <w:rPr>
                <w:rFonts w:ascii="Calibri" w:cs="Calibri" w:eastAsia="Calibri" w:hAnsi="Calibri"/>
                <w:b/>
                <w:bCs/>
                <w:color w:val="0F1419"/>
                <w:sz w:val="18"/>
                <w:szCs w:val="18"/>
              </w:rPr>
              <w:t xml:space="preserve">23,759</w:t>
            </w:r>
          </w:p>
        </w:tc>
        <w:tc>
          <w:tcPr>
            <w:tcBorders>
              <w:top w:val="single" w:color="E2E8F0" w:sz="4"/>
              <w:left w:val="single" w:color="E2E8F0" w:sz="4"/>
              <w:bottom w:val="single" w:color="E2E8F0" w:sz="4"/>
              <w:right w:val="single" w:color="E2E8F0" w:sz="4"/>
            </w:tcBorders>
            <w:shd w:fill="FDF2F2" w:val="clear"/>
            <w:tcMar>
              <w:top w:type="dxa" w:w="90"/>
              <w:left w:type="dxa" w:w="120"/>
              <w:bottom w:type="dxa" w:w="90"/>
              <w:right w:type="dxa" w:w="120"/>
            </w:tcMar>
            <w:vAlign w:val="center"/>
          </w:tcPr>
          <w:p>
            <w:pPr>
              <w:jc w:val="center"/>
            </w:pPr>
            <w:r>
              <w:rPr>
                <w:rFonts w:ascii="Calibri" w:cs="Calibri" w:eastAsia="Calibri" w:hAnsi="Calibri"/>
                <w:b/>
                <w:bCs/>
                <w:color w:val="C0392B"/>
                <w:sz w:val="18"/>
                <w:szCs w:val="18"/>
              </w:rPr>
              <w:t xml:space="preserve">-2,411</w:t>
            </w:r>
          </w:p>
        </w:tc>
        <w:tc>
          <w:tcPr>
            <w:tcBorders>
              <w:top w:val="single" w:color="E2E8F0" w:sz="4"/>
              <w:left w:val="single" w:color="E2E8F0" w:sz="4"/>
              <w:bottom w:val="single" w:color="E2E8F0" w:sz="4"/>
              <w:right w:val="single" w:color="E2E8F0" w:sz="4"/>
            </w:tcBorders>
            <w:shd w:fill="FDF2F2" w:val="clear"/>
            <w:tcMar>
              <w:top w:type="dxa" w:w="90"/>
              <w:left w:type="dxa" w:w="120"/>
              <w:bottom w:type="dxa" w:w="90"/>
              <w:right w:type="dxa" w:w="120"/>
            </w:tcMar>
            <w:vAlign w:val="center"/>
          </w:tcPr>
          <w:p>
            <w:pPr>
              <w:jc w:val="center"/>
            </w:pPr>
            <w:r>
              <w:rPr>
                <w:rFonts w:ascii="Calibri" w:cs="Calibri" w:eastAsia="Calibri" w:hAnsi="Calibri"/>
                <w:b/>
                <w:bCs/>
                <w:color w:val="C0392B"/>
                <w:sz w:val="18"/>
                <w:szCs w:val="18"/>
              </w:rPr>
              <w:t xml:space="preserve">-9.2%</w:t>
            </w:r>
          </w:p>
        </w:tc>
        <w:tc>
          <w:tcPr>
            <w:tcBorders>
              <w:top w:val="single" w:color="E2E8F0" w:sz="4"/>
              <w:left w:val="single" w:color="E2E8F0" w:sz="4"/>
              <w:bottom w:val="single" w:color="E2E8F0" w:sz="4"/>
              <w:right w:val="single" w:color="E2E8F0" w:sz="4"/>
            </w:tcBorders>
            <w:shd w:fill="FDF2F2" w:val="clear"/>
            <w:tcMar>
              <w:top w:type="dxa" w:w="90"/>
              <w:left w:type="dxa" w:w="120"/>
              <w:bottom w:type="dxa" w:w="90"/>
              <w:right w:type="dxa" w:w="120"/>
            </w:tcMar>
            <w:vAlign w:val="center"/>
          </w:tcPr>
          <w:p>
            <w:pPr>
              <w:jc w:val="left"/>
            </w:pPr>
            <w:r>
              <w:rPr>
                <w:rFonts w:ascii="Calibri" w:cs="Calibri" w:eastAsia="Calibri" w:hAnsi="Calibri"/>
                <w:b w:val="false"/>
                <w:bCs w:val="false"/>
                <w:color w:val="0F1419"/>
                <w:sz w:val="18"/>
                <w:szCs w:val="18"/>
              </w:rPr>
              <w:t xml:space="preserve">🔴</w:t>
            </w:r>
          </w:p>
        </w:tc>
      </w:tr>
      <w:tr>
        <w:tc>
          <w:tcPr>
            <w:tcBorders>
              <w:top w:val="single" w:color="E2E8F0" w:sz="4"/>
              <w:left w:val="single" w:color="E2E8F0" w:sz="4"/>
              <w:bottom w:val="single" w:color="E2E8F0" w:sz="4"/>
              <w:right w:val="single" w:color="E2E8F0" w:sz="4"/>
            </w:tcBorders>
            <w:shd w:fill="E8F5F0" w:val="clear"/>
            <w:tcMar>
              <w:top w:type="dxa" w:w="90"/>
              <w:left w:type="dxa" w:w="120"/>
              <w:bottom w:type="dxa" w:w="90"/>
              <w:right w:type="dxa" w:w="120"/>
            </w:tcMar>
            <w:vAlign w:val="center"/>
          </w:tcPr>
          <w:p>
            <w:pPr>
              <w:jc w:val="left"/>
            </w:pPr>
            <w:r>
              <w:rPr>
                <w:rFonts w:ascii="Calibri" w:cs="Calibri" w:eastAsia="Calibri" w:hAnsi="Calibri"/>
                <w:b/>
                <w:bCs/>
                <w:color w:val="0F1419"/>
                <w:sz w:val="18"/>
                <w:szCs w:val="18"/>
              </w:rPr>
              <w:t xml:space="preserve">TOTAL</w:t>
            </w:r>
          </w:p>
        </w:tc>
        <w:tc>
          <w:tcPr>
            <w:tcBorders>
              <w:top w:val="single" w:color="E2E8F0" w:sz="4"/>
              <w:left w:val="single" w:color="E2E8F0" w:sz="4"/>
              <w:bottom w:val="single" w:color="E2E8F0" w:sz="4"/>
              <w:right w:val="single" w:color="E2E8F0" w:sz="4"/>
            </w:tcBorders>
            <w:shd w:fill="E8F5F0" w:val="clear"/>
            <w:tcMar>
              <w:top w:type="dxa" w:w="90"/>
              <w:left w:type="dxa" w:w="120"/>
              <w:bottom w:type="dxa" w:w="90"/>
              <w:right w:type="dxa" w:w="120"/>
            </w:tcMar>
            <w:vAlign w:val="center"/>
          </w:tcPr>
          <w:p>
            <w:pPr>
              <w:jc w:val="left"/>
            </w:pPr>
            <w:r>
              <w:rPr>
                <w:rFonts w:ascii="Calibri" w:cs="Calibri" w:eastAsia="Calibri" w:hAnsi="Calibri"/>
                <w:b/>
                <w:bCs/>
                <w:color w:val="0F1419"/>
                <w:sz w:val="18"/>
                <w:szCs w:val="18"/>
              </w:rPr>
              <w:t xml:space="preserve">149,010</w:t>
            </w:r>
          </w:p>
        </w:tc>
        <w:tc>
          <w:tcPr>
            <w:tcBorders>
              <w:top w:val="single" w:color="E2E8F0" w:sz="4"/>
              <w:left w:val="single" w:color="E2E8F0" w:sz="4"/>
              <w:bottom w:val="single" w:color="E2E8F0" w:sz="4"/>
              <w:right w:val="single" w:color="E2E8F0" w:sz="4"/>
            </w:tcBorders>
            <w:shd w:fill="E8F5F0" w:val="clear"/>
            <w:tcMar>
              <w:top w:type="dxa" w:w="90"/>
              <w:left w:type="dxa" w:w="120"/>
              <w:bottom w:type="dxa" w:w="90"/>
              <w:right w:type="dxa" w:w="120"/>
            </w:tcMar>
            <w:vAlign w:val="center"/>
          </w:tcPr>
          <w:p>
            <w:pPr>
              <w:jc w:val="left"/>
            </w:pPr>
            <w:r>
              <w:rPr>
                <w:rFonts w:ascii="Calibri" w:cs="Calibri" w:eastAsia="Calibri" w:hAnsi="Calibri"/>
                <w:b/>
                <w:bCs/>
                <w:color w:val="0F1419"/>
                <w:sz w:val="18"/>
                <w:szCs w:val="18"/>
              </w:rPr>
              <w:t xml:space="preserve">151,307</w:t>
            </w:r>
          </w:p>
        </w:tc>
        <w:tc>
          <w:tcPr>
            <w:tcBorders>
              <w:top w:val="single" w:color="E2E8F0" w:sz="4"/>
              <w:left w:val="single" w:color="E2E8F0" w:sz="4"/>
              <w:bottom w:val="single" w:color="E2E8F0" w:sz="4"/>
              <w:right w:val="single" w:color="E2E8F0" w:sz="4"/>
            </w:tcBorders>
            <w:shd w:fill="E8F5F0" w:val="clear"/>
            <w:tcMar>
              <w:top w:type="dxa" w:w="90"/>
              <w:left w:type="dxa" w:w="120"/>
              <w:bottom w:type="dxa" w:w="90"/>
              <w:right w:type="dxa" w:w="120"/>
            </w:tcMar>
            <w:vAlign w:val="center"/>
          </w:tcPr>
          <w:p>
            <w:pPr>
              <w:jc w:val="center"/>
            </w:pPr>
            <w:r>
              <w:rPr>
                <w:rFonts w:ascii="Calibri" w:cs="Calibri" w:eastAsia="Calibri" w:hAnsi="Calibri"/>
                <w:b/>
                <w:bCs/>
                <w:color w:val="1A6B4A"/>
                <w:sz w:val="18"/>
                <w:szCs w:val="18"/>
              </w:rPr>
              <w:t xml:space="preserve">+2,297</w:t>
            </w:r>
          </w:p>
        </w:tc>
        <w:tc>
          <w:tcPr>
            <w:tcBorders>
              <w:top w:val="single" w:color="E2E8F0" w:sz="4"/>
              <w:left w:val="single" w:color="E2E8F0" w:sz="4"/>
              <w:bottom w:val="single" w:color="E2E8F0" w:sz="4"/>
              <w:right w:val="single" w:color="E2E8F0" w:sz="4"/>
            </w:tcBorders>
            <w:shd w:fill="E8F5F0" w:val="clear"/>
            <w:tcMar>
              <w:top w:type="dxa" w:w="90"/>
              <w:left w:type="dxa" w:w="120"/>
              <w:bottom w:type="dxa" w:w="90"/>
              <w:right w:type="dxa" w:w="120"/>
            </w:tcMar>
            <w:vAlign w:val="center"/>
          </w:tcPr>
          <w:p>
            <w:pPr>
              <w:jc w:val="center"/>
            </w:pPr>
            <w:r>
              <w:rPr>
                <w:rFonts w:ascii="Calibri" w:cs="Calibri" w:eastAsia="Calibri" w:hAnsi="Calibri"/>
                <w:b/>
                <w:bCs/>
                <w:color w:val="1A6B4A"/>
                <w:sz w:val="18"/>
                <w:szCs w:val="18"/>
              </w:rPr>
              <w:t xml:space="preserve">+1.5%</w:t>
            </w:r>
          </w:p>
        </w:tc>
        <w:tc>
          <w:tcPr>
            <w:tcBorders>
              <w:top w:val="single" w:color="E2E8F0" w:sz="4"/>
              <w:left w:val="single" w:color="E2E8F0" w:sz="4"/>
              <w:bottom w:val="single" w:color="E2E8F0" w:sz="4"/>
              <w:right w:val="single" w:color="E2E8F0" w:sz="4"/>
            </w:tcBorders>
            <w:shd w:fill="E8F5F0" w:val="clear"/>
            <w:tcMar>
              <w:top w:type="dxa" w:w="90"/>
              <w:left w:type="dxa" w:w="120"/>
              <w:bottom w:type="dxa" w:w="90"/>
              <w:right w:type="dxa" w:w="120"/>
            </w:tcMar>
            <w:vAlign w:val="center"/>
          </w:tcPr>
          <w:p>
            <w:pPr>
              <w:jc w:val="left"/>
            </w:pPr>
            <w:r>
              <w:rPr>
                <w:rFonts w:ascii="Calibri" w:cs="Calibri" w:eastAsia="Calibri" w:hAnsi="Calibri"/>
                <w:b w:val="false"/>
                <w:bCs w:val="false"/>
                <w:color w:val="0F1419"/>
                <w:sz w:val="18"/>
                <w:szCs w:val="18"/>
              </w:rPr>
              <w:t xml:space="preserve">🟢</w:t>
            </w:r>
          </w:p>
        </w:tc>
      </w:tr>
    </w:tbl>
    <w:p>
      <w:pPr>
        <w:spacing w:before="80" w:after="0"/>
      </w:pPr>
    </w:p>
    <w:p>
      <w:pPr>
        <w:spacing w:before="180" w:after="60"/>
      </w:pPr>
      <w:r>
        <w:rPr>
          <w:rFonts w:ascii="Calibri" w:cs="Calibri" w:eastAsia="Calibri" w:hAnsi="Calibri"/>
          <w:b/>
          <w:bCs/>
          <w:color w:val="0F1419"/>
          <w:sz w:val="21"/>
          <w:szCs w:val="21"/>
        </w:rPr>
        <w:t xml:space="preserve">2.2 Revenue Commentary</w:t>
      </w:r>
    </w:p>
    <w:p>
      <w:pPr>
        <w:pStyle w:val="ListParagraph"/>
        <w:numPr>
          <w:ilvl w:val="0"/>
          <w:numId w:val="2"/>
        </w:numPr>
        <w:spacing w:before="40" w:after="40"/>
      </w:pPr>
      <w:r>
        <w:rPr>
          <w:rFonts w:ascii="Calibri" w:cs="Calibri" w:eastAsia="Calibri" w:hAnsi="Calibri"/>
          <w:color w:val="3D4A5A"/>
          <w:sz w:val="19"/>
          <w:szCs w:val="19"/>
        </w:rPr>
        <w:t xml:space="preserve"/>
      </w:r>
      <w:r>
        <w:rPr>
          <w:rFonts w:ascii="Calibri" w:cs="Calibri" w:eastAsia="Calibri" w:hAnsi="Calibri"/>
          <w:b/>
          <w:bCs/>
          <w:color w:val="0F1419"/>
          <w:sz w:val="19"/>
          <w:szCs w:val="19"/>
        </w:rPr>
        <w:t xml:space="preserve">Digital Payments (+19.4%)</w:t>
      </w:r>
      <w:r>
        <w:rPr>
          <w:rFonts w:ascii="Calibri" w:cs="Calibri" w:eastAsia="Calibri" w:hAnsi="Calibri"/>
          <w:color w:val="3D4A5A"/>
          <w:sz w:val="19"/>
          <w:szCs w:val="19"/>
        </w:rPr>
        <w:t xml:space="preserve"> — Strongest performer in the portfolio. Growth driven by increased merchant adoption of contactless payments infrastructure and higher transaction volumes from B2B partnerships initiated in Q2. Growth trajectory has accelerated through H2 — this product is tracking well ahead of the 3-year plan.</w:t>
      </w:r>
    </w:p>
    <w:p>
      <w:pPr>
        <w:pStyle w:val="ListParagraph"/>
        <w:numPr>
          <w:ilvl w:val="0"/>
          <w:numId w:val="2"/>
        </w:numPr>
        <w:spacing w:before="40" w:after="40"/>
      </w:pPr>
      <w:r>
        <w:rPr>
          <w:rFonts w:ascii="Calibri" w:cs="Calibri" w:eastAsia="Calibri" w:hAnsi="Calibri"/>
          <w:color w:val="3D4A5A"/>
          <w:sz w:val="19"/>
          <w:szCs w:val="19"/>
        </w:rPr>
        <w:t xml:space="preserve"/>
      </w:r>
      <w:r>
        <w:rPr>
          <w:rFonts w:ascii="Calibri" w:cs="Calibri" w:eastAsia="Calibri" w:hAnsi="Calibri"/>
          <w:b/>
          <w:bCs/>
          <w:color w:val="0F1419"/>
          <w:sz w:val="19"/>
          <w:szCs w:val="19"/>
        </w:rPr>
        <w:t xml:space="preserve">Wealth Management (+8.6%)</w:t>
      </w:r>
      <w:r>
        <w:rPr>
          <w:rFonts w:ascii="Calibri" w:cs="Calibri" w:eastAsia="Calibri" w:hAnsi="Calibri"/>
          <w:color w:val="3D4A5A"/>
          <w:sz w:val="19"/>
          <w:szCs w:val="19"/>
        </w:rPr>
        <w:t xml:space="preserve"> — Consistent outperformance throughout the year, driven by strong funds under management (FUM) growth and above-budget advisory fee income. Market conditions were supportive in H1 2024, and client acquisition exceeded targets.</w:t>
      </w:r>
    </w:p>
    <w:p>
      <w:pPr>
        <w:pStyle w:val="ListParagraph"/>
        <w:numPr>
          <w:ilvl w:val="0"/>
          <w:numId w:val="2"/>
        </w:numPr>
        <w:spacing w:before="40" w:after="40"/>
      </w:pPr>
      <w:r>
        <w:rPr>
          <w:rFonts w:ascii="Calibri" w:cs="Calibri" w:eastAsia="Calibri" w:hAnsi="Calibri"/>
          <w:color w:val="3D4A5A"/>
          <w:sz w:val="19"/>
          <w:szCs w:val="19"/>
        </w:rPr>
        <w:t xml:space="preserve"/>
      </w:r>
      <w:r>
        <w:rPr>
          <w:rFonts w:ascii="Calibri" w:cs="Calibri" w:eastAsia="Calibri" w:hAnsi="Calibri"/>
          <w:b/>
          <w:bCs/>
          <w:color w:val="0F1419"/>
          <w:sz w:val="19"/>
          <w:szCs w:val="19"/>
        </w:rPr>
        <w:t xml:space="preserve">Business Lending (-9.2%)</w:t>
      </w:r>
      <w:r>
        <w:rPr>
          <w:rFonts w:ascii="Calibri" w:cs="Calibri" w:eastAsia="Calibri" w:hAnsi="Calibri"/>
          <w:color w:val="3D4A5A"/>
          <w:sz w:val="19"/>
          <w:szCs w:val="19"/>
        </w:rPr>
        <w:t xml:space="preserve"> — Most significant miss across the business. Credit appetite tightened in response to rising arrears in the SME segment and a higher cost of funds. New lending volumes were 18% below plan. This will require focused management attention in FY2025 planning.</w:t>
      </w:r>
    </w:p>
    <w:p>
      <w:pPr>
        <w:pStyle w:val="ListParagraph"/>
        <w:numPr>
          <w:ilvl w:val="0"/>
          <w:numId w:val="2"/>
        </w:numPr>
        <w:spacing w:before="40" w:after="40"/>
      </w:pPr>
      <w:r>
        <w:rPr>
          <w:rFonts w:ascii="Calibri" w:cs="Calibri" w:eastAsia="Calibri" w:hAnsi="Calibri"/>
          <w:color w:val="3D4A5A"/>
          <w:sz w:val="19"/>
          <w:szCs w:val="19"/>
        </w:rPr>
        <w:t xml:space="preserve"/>
      </w:r>
      <w:r>
        <w:rPr>
          <w:rFonts w:ascii="Calibri" w:cs="Calibri" w:eastAsia="Calibri" w:hAnsi="Calibri"/>
          <w:b/>
          <w:bCs/>
          <w:color w:val="0F1419"/>
          <w:sz w:val="19"/>
          <w:szCs w:val="19"/>
        </w:rPr>
        <w:t xml:space="preserve">Retail Banking (-0.6%)</w:t>
      </w:r>
      <w:r>
        <w:rPr>
          <w:rFonts w:ascii="Calibri" w:cs="Calibri" w:eastAsia="Calibri" w:hAnsi="Calibri"/>
          <w:color w:val="3D4A5A"/>
          <w:sz w:val="19"/>
          <w:szCs w:val="19"/>
        </w:rPr>
        <w:t xml:space="preserve"> — Broadly in line. Net interest margin pressure from deposit competition offset volume growth. Second half performance improved slightly relative to H1.</w:t>
      </w:r>
    </w:p>
    <w:p>
      <w:pPr>
        <w:spacing w:before="200" w:after="0"/>
      </w:pPr>
    </w:p>
    <w:p>
      <w:r>
        <w:br w:type="page"/>
      </w:r>
    </w:p>
    <w:p>
      <w:pPr>
        <w:pBdr>
          <w:bottom w:val="single" w:color="1A6B4A" w:sz="8" w:space="4"/>
        </w:pBdr>
        <w:spacing w:before="280" w:after="80"/>
      </w:pPr>
      <w:r>
        <w:rPr>
          <w:rFonts w:ascii="Calibri" w:cs="Calibri" w:eastAsia="Calibri" w:hAnsi="Calibri"/>
          <w:b/>
          <w:bCs/>
          <w:color w:val="1A6B4A"/>
          <w:sz w:val="22"/>
          <w:szCs w:val="22"/>
        </w:rPr>
        <w:t xml:space="preserve">3. COST PERFORMANCE</w:t>
      </w:r>
    </w:p>
    <w:p>
      <w:pPr>
        <w:spacing w:before="180" w:after="60"/>
      </w:pPr>
      <w:r>
        <w:rPr>
          <w:rFonts w:ascii="Calibri" w:cs="Calibri" w:eastAsia="Calibri" w:hAnsi="Calibri"/>
          <w:b/>
          <w:bCs/>
          <w:color w:val="0F1419"/>
          <w:sz w:val="21"/>
          <w:szCs w:val="21"/>
        </w:rPr>
        <w:t xml:space="preserve">3.1 Cost Variance by Category</w:t>
      </w:r>
    </w:p>
    <w:p>
      <w:pPr>
        <w:spacing w:before="50" w:after="50"/>
      </w:pPr>
      <w:r>
        <w:rPr>
          <w:rFonts w:ascii="Calibri" w:cs="Calibri" w:eastAsia="Calibri" w:hAnsi="Calibri"/>
          <w:color w:val="3D4A5A"/>
          <w:sz w:val="19"/>
          <w:szCs w:val="19"/>
        </w:rPr>
        <w:t xml:space="preserve">Total costs of </w:t>
      </w:r>
      <w:r>
        <w:rPr>
          <w:rFonts w:ascii="Calibri" w:cs="Calibri" w:eastAsia="Calibri" w:hAnsi="Calibri"/>
          <w:b/>
          <w:bCs/>
          <w:color w:val="0F1419"/>
          <w:sz w:val="19"/>
          <w:szCs w:val="19"/>
        </w:rPr>
        <w:t xml:space="preserve">A$79,990k exceeded budget by A$2,445k (+3.2%)</w:t>
      </w:r>
      <w:r>
        <w:rPr>
          <w:rFonts w:ascii="Calibri" w:cs="Calibri" w:eastAsia="Calibri" w:hAnsi="Calibri"/>
          <w:color w:val="3D4A5A"/>
          <w:sz w:val="19"/>
          <w:szCs w:val="19"/>
        </w:rPr>
        <w:t xml:space="preserve">. The overrun was concentrated in two categories: </w:t>
      </w:r>
      <w:r>
        <w:rPr>
          <w:rFonts w:ascii="Calibri" w:cs="Calibri" w:eastAsia="Calibri" w:hAnsi="Calibri"/>
          <w:b/>
          <w:bCs/>
          <w:color w:val="0F1419"/>
          <w:sz w:val="19"/>
          <w:szCs w:val="19"/>
        </w:rPr>
        <w:t xml:space="preserve">Technology</w:t>
      </w:r>
      <w:r>
        <w:rPr>
          <w:rFonts w:ascii="Calibri" w:cs="Calibri" w:eastAsia="Calibri" w:hAnsi="Calibri"/>
          <w:color w:val="3D4A5A"/>
          <w:sz w:val="19"/>
          <w:szCs w:val="19"/>
        </w:rPr>
        <w:t xml:space="preserve"> (A$1,580k over budget, +13.5%) and </w:t>
      </w:r>
      <w:r>
        <w:rPr>
          <w:rFonts w:ascii="Calibri" w:cs="Calibri" w:eastAsia="Calibri" w:hAnsi="Calibri"/>
          <w:b/>
          <w:bCs/>
          <w:color w:val="0F1419"/>
          <w:sz w:val="19"/>
          <w:szCs w:val="19"/>
        </w:rPr>
        <w:t xml:space="preserve">Marketing</w:t>
      </w:r>
      <w:r>
        <w:rPr>
          <w:rFonts w:ascii="Calibri" w:cs="Calibri" w:eastAsia="Calibri" w:hAnsi="Calibri"/>
          <w:color w:val="3D4A5A"/>
          <w:sz w:val="19"/>
          <w:szCs w:val="19"/>
        </w:rPr>
        <w:t xml:space="preserve"> (A$520k over budget, +11.2%). Personnel costs were broadly in line (+A$780k, +1.0%). All other categories were near budget.</w:t>
      </w:r>
    </w:p>
    <w:p>
      <w:pPr>
        <w:spacing w:before="40" w:after="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1629"/>
        <w:gridCol w:w="1629"/>
        <w:gridCol w:w="1629"/>
        <w:gridCol w:w="1629"/>
        <w:gridCol w:w="629"/>
      </w:tblGrid>
      <w:tr>
        <w:tc>
          <w:tcPr>
            <w:tcBorders>
              <w:top w:val="single" w:color="E2E8F0" w:sz="4"/>
              <w:left w:val="single" w:color="E2E8F0" w:sz="4"/>
              <w:bottom w:val="single" w:color="E2E8F0" w:sz="4"/>
              <w:right w:val="single" w:color="E2E8F0" w:sz="4"/>
            </w:tcBorders>
            <w:shd w:fill="1A6B4A" w:val="clear"/>
            <w:tcMar>
              <w:top w:type="dxa" w:w="90"/>
              <w:left w:type="dxa" w:w="120"/>
              <w:bottom w:type="dxa" w:w="90"/>
              <w:right w:type="dxa" w:w="120"/>
            </w:tcMar>
          </w:tcPr>
          <w:p>
            <w:r>
              <w:rPr>
                <w:rFonts w:ascii="Calibri" w:cs="Calibri" w:eastAsia="Calibri" w:hAnsi="Calibri"/>
                <w:b/>
                <w:bCs/>
                <w:color w:val="FFFFFF"/>
                <w:sz w:val="18"/>
                <w:szCs w:val="18"/>
              </w:rPr>
              <w:t xml:space="preserve">Cost Category</w:t>
            </w:r>
          </w:p>
        </w:tc>
        <w:tc>
          <w:tcPr>
            <w:tcBorders>
              <w:top w:val="single" w:color="E2E8F0" w:sz="4"/>
              <w:left w:val="single" w:color="E2E8F0" w:sz="4"/>
              <w:bottom w:val="single" w:color="E2E8F0" w:sz="4"/>
              <w:right w:val="single" w:color="E2E8F0" w:sz="4"/>
            </w:tcBorders>
            <w:shd w:fill="1A6B4A" w:val="clear"/>
            <w:tcMar>
              <w:top w:type="dxa" w:w="90"/>
              <w:left w:type="dxa" w:w="120"/>
              <w:bottom w:type="dxa" w:w="90"/>
              <w:right w:type="dxa" w:w="120"/>
            </w:tcMar>
          </w:tcPr>
          <w:p>
            <w:r>
              <w:rPr>
                <w:rFonts w:ascii="Calibri" w:cs="Calibri" w:eastAsia="Calibri" w:hAnsi="Calibri"/>
                <w:b/>
                <w:bCs/>
                <w:color w:val="FFFFFF"/>
                <w:sz w:val="18"/>
                <w:szCs w:val="18"/>
              </w:rPr>
              <w:t xml:space="preserve">Budget</w:t>
            </w:r>
          </w:p>
        </w:tc>
        <w:tc>
          <w:tcPr>
            <w:tcBorders>
              <w:top w:val="single" w:color="E2E8F0" w:sz="4"/>
              <w:left w:val="single" w:color="E2E8F0" w:sz="4"/>
              <w:bottom w:val="single" w:color="E2E8F0" w:sz="4"/>
              <w:right w:val="single" w:color="E2E8F0" w:sz="4"/>
            </w:tcBorders>
            <w:shd w:fill="1A6B4A" w:val="clear"/>
            <w:tcMar>
              <w:top w:type="dxa" w:w="90"/>
              <w:left w:type="dxa" w:w="120"/>
              <w:bottom w:type="dxa" w:w="90"/>
              <w:right w:type="dxa" w:w="120"/>
            </w:tcMar>
          </w:tcPr>
          <w:p>
            <w:r>
              <w:rPr>
                <w:rFonts w:ascii="Calibri" w:cs="Calibri" w:eastAsia="Calibri" w:hAnsi="Calibri"/>
                <w:b/>
                <w:bCs/>
                <w:color w:val="FFFFFF"/>
                <w:sz w:val="18"/>
                <w:szCs w:val="18"/>
              </w:rPr>
              <w:t xml:space="preserve">Actual</w:t>
            </w:r>
          </w:p>
        </w:tc>
        <w:tc>
          <w:tcPr>
            <w:tcBorders>
              <w:top w:val="single" w:color="E2E8F0" w:sz="4"/>
              <w:left w:val="single" w:color="E2E8F0" w:sz="4"/>
              <w:bottom w:val="single" w:color="E2E8F0" w:sz="4"/>
              <w:right w:val="single" w:color="E2E8F0" w:sz="4"/>
            </w:tcBorders>
            <w:shd w:fill="1A6B4A" w:val="clear"/>
            <w:tcMar>
              <w:top w:type="dxa" w:w="90"/>
              <w:left w:type="dxa" w:w="120"/>
              <w:bottom w:type="dxa" w:w="90"/>
              <w:right w:type="dxa" w:w="120"/>
            </w:tcMar>
          </w:tcPr>
          <w:p>
            <w:r>
              <w:rPr>
                <w:rFonts w:ascii="Calibri" w:cs="Calibri" w:eastAsia="Calibri" w:hAnsi="Calibri"/>
                <w:b/>
                <w:bCs/>
                <w:color w:val="FFFFFF"/>
                <w:sz w:val="18"/>
                <w:szCs w:val="18"/>
              </w:rPr>
              <w:t xml:space="preserve">Variance</w:t>
            </w:r>
          </w:p>
        </w:tc>
        <w:tc>
          <w:tcPr>
            <w:tcBorders>
              <w:top w:val="single" w:color="E2E8F0" w:sz="4"/>
              <w:left w:val="single" w:color="E2E8F0" w:sz="4"/>
              <w:bottom w:val="single" w:color="E2E8F0" w:sz="4"/>
              <w:right w:val="single" w:color="E2E8F0" w:sz="4"/>
            </w:tcBorders>
            <w:shd w:fill="1A6B4A" w:val="clear"/>
            <w:tcMar>
              <w:top w:type="dxa" w:w="90"/>
              <w:left w:type="dxa" w:w="120"/>
              <w:bottom w:type="dxa" w:w="90"/>
              <w:right w:type="dxa" w:w="120"/>
            </w:tcMar>
          </w:tcPr>
          <w:p>
            <w:r>
              <w:rPr>
                <w:rFonts w:ascii="Calibri" w:cs="Calibri" w:eastAsia="Calibri" w:hAnsi="Calibri"/>
                <w:b/>
                <w:bCs/>
                <w:color w:val="FFFFFF"/>
                <w:sz w:val="18"/>
                <w:szCs w:val="18"/>
              </w:rPr>
              <w:t xml:space="preserve">Var %</w:t>
            </w:r>
          </w:p>
        </w:tc>
        <w:tc>
          <w:tcPr>
            <w:tcBorders>
              <w:top w:val="single" w:color="E2E8F0" w:sz="4"/>
              <w:left w:val="single" w:color="E2E8F0" w:sz="4"/>
              <w:bottom w:val="single" w:color="E2E8F0" w:sz="4"/>
              <w:right w:val="single" w:color="E2E8F0" w:sz="4"/>
            </w:tcBorders>
            <w:shd w:fill="1A6B4A" w:val="clear"/>
            <w:tcMar>
              <w:top w:type="dxa" w:w="90"/>
              <w:left w:type="dxa" w:w="120"/>
              <w:bottom w:type="dxa" w:w="90"/>
              <w:right w:type="dxa" w:w="120"/>
            </w:tcMar>
          </w:tcPr>
          <w:p>
            <w:r>
              <w:rPr>
                <w:rFonts w:ascii="Calibri" w:cs="Calibri" w:eastAsia="Calibri" w:hAnsi="Calibri"/>
                <w:b/>
                <w:bCs/>
                <w:color w:val="FFFFFF"/>
                <w:sz w:val="18"/>
                <w:szCs w:val="18"/>
              </w:rPr>
              <w:t xml:space="preserve">RAG</w:t>
            </w:r>
          </w:p>
        </w:tc>
      </w:tr>
      <w:tr>
        <w:tc>
          <w:tcPr>
            <w:tcBorders>
              <w:top w:val="single" w:color="E2E8F0" w:sz="4"/>
              <w:left w:val="single" w:color="E2E8F0" w:sz="4"/>
              <w:bottom w:val="single" w:color="E2E8F0" w:sz="4"/>
              <w:right w:val="single" w:color="E2E8F0" w:sz="4"/>
            </w:tcBorders>
            <w:shd w:fill="F0F4F8" w:val="clear"/>
            <w:tcMar>
              <w:top w:type="dxa" w:w="90"/>
              <w:left w:type="dxa" w:w="120"/>
              <w:bottom w:type="dxa" w:w="90"/>
              <w:right w:type="dxa" w:w="120"/>
            </w:tcMar>
            <w:vAlign w:val="center"/>
          </w:tcPr>
          <w:p>
            <w:pPr>
              <w:jc w:val="left"/>
            </w:pPr>
            <w:r>
              <w:rPr>
                <w:rFonts w:ascii="Calibri" w:cs="Calibri" w:eastAsia="Calibri" w:hAnsi="Calibri"/>
                <w:b w:val="false"/>
                <w:bCs w:val="false"/>
                <w:color w:val="0F1419"/>
                <w:sz w:val="18"/>
                <w:szCs w:val="18"/>
              </w:rPr>
              <w:t xml:space="preserve">Personnel</w:t>
            </w:r>
          </w:p>
        </w:tc>
        <w:tc>
          <w:tcPr>
            <w:tcBorders>
              <w:top w:val="single" w:color="E2E8F0" w:sz="4"/>
              <w:left w:val="single" w:color="E2E8F0" w:sz="4"/>
              <w:bottom w:val="single" w:color="E2E8F0" w:sz="4"/>
              <w:right w:val="single" w:color="E2E8F0" w:sz="4"/>
            </w:tcBorders>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0F1419"/>
                <w:sz w:val="18"/>
                <w:szCs w:val="18"/>
              </w:rPr>
              <w:t xml:space="preserve">47,350</w:t>
            </w:r>
          </w:p>
        </w:tc>
        <w:tc>
          <w:tcPr>
            <w:tcBorders>
              <w:top w:val="single" w:color="E2E8F0" w:sz="4"/>
              <w:left w:val="single" w:color="E2E8F0" w:sz="4"/>
              <w:bottom w:val="single" w:color="E2E8F0" w:sz="4"/>
              <w:right w:val="single" w:color="E2E8F0" w:sz="4"/>
            </w:tcBorders>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0F1419"/>
                <w:sz w:val="18"/>
                <w:szCs w:val="18"/>
              </w:rPr>
              <w:t xml:space="preserve">48,130</w:t>
            </w:r>
          </w:p>
        </w:tc>
        <w:tc>
          <w:tcPr>
            <w:tcBorders>
              <w:top w:val="single" w:color="E2E8F0" w:sz="4"/>
              <w:left w:val="single" w:color="E2E8F0" w:sz="4"/>
              <w:bottom w:val="single" w:color="E2E8F0" w:sz="4"/>
              <w:right w:val="single" w:color="E2E8F0" w:sz="4"/>
            </w:tcBorders>
            <w:shd w:fill="FEF9EC" w:val="clear"/>
            <w:tcMar>
              <w:top w:type="dxa" w:w="90"/>
              <w:left w:type="dxa" w:w="120"/>
              <w:bottom w:type="dxa" w:w="90"/>
              <w:right w:type="dxa" w:w="120"/>
            </w:tcMar>
            <w:vAlign w:val="center"/>
          </w:tcPr>
          <w:p>
            <w:pPr>
              <w:jc w:val="center"/>
            </w:pPr>
            <w:r>
              <w:rPr>
                <w:rFonts w:ascii="Calibri" w:cs="Calibri" w:eastAsia="Calibri" w:hAnsi="Calibri"/>
                <w:b w:val="false"/>
                <w:bCs w:val="false"/>
                <w:color w:val="E07B39"/>
                <w:sz w:val="18"/>
                <w:szCs w:val="18"/>
              </w:rPr>
              <w:t xml:space="preserve">+780</w:t>
            </w:r>
          </w:p>
        </w:tc>
        <w:tc>
          <w:tcPr>
            <w:tcBorders>
              <w:top w:val="single" w:color="E2E8F0" w:sz="4"/>
              <w:left w:val="single" w:color="E2E8F0" w:sz="4"/>
              <w:bottom w:val="single" w:color="E2E8F0" w:sz="4"/>
              <w:right w:val="single" w:color="E2E8F0" w:sz="4"/>
            </w:tcBorders>
            <w:shd w:fill="FEF9EC" w:val="clear"/>
            <w:tcMar>
              <w:top w:type="dxa" w:w="90"/>
              <w:left w:type="dxa" w:w="120"/>
              <w:bottom w:type="dxa" w:w="90"/>
              <w:right w:type="dxa" w:w="120"/>
            </w:tcMar>
            <w:vAlign w:val="center"/>
          </w:tcPr>
          <w:p>
            <w:pPr>
              <w:jc w:val="center"/>
            </w:pPr>
            <w:r>
              <w:rPr>
                <w:rFonts w:ascii="Calibri" w:cs="Calibri" w:eastAsia="Calibri" w:hAnsi="Calibri"/>
                <w:b w:val="false"/>
                <w:bCs w:val="false"/>
                <w:color w:val="E07B39"/>
                <w:sz w:val="18"/>
                <w:szCs w:val="18"/>
              </w:rPr>
              <w:t xml:space="preserve">+1.6%</w:t>
            </w:r>
          </w:p>
        </w:tc>
        <w:tc>
          <w:tcPr>
            <w:tcBorders>
              <w:top w:val="single" w:color="E2E8F0" w:sz="4"/>
              <w:left w:val="single" w:color="E2E8F0" w:sz="4"/>
              <w:bottom w:val="single" w:color="E2E8F0" w:sz="4"/>
              <w:right w:val="single" w:color="E2E8F0" w:sz="4"/>
            </w:tcBorders>
            <w:shd w:fill="F0F4F8" w:val="clear"/>
            <w:tcMar>
              <w:top w:type="dxa" w:w="90"/>
              <w:left w:type="dxa" w:w="120"/>
              <w:bottom w:type="dxa" w:w="90"/>
              <w:right w:type="dxa" w:w="120"/>
            </w:tcMar>
            <w:vAlign w:val="center"/>
          </w:tcPr>
          <w:p>
            <w:pPr>
              <w:jc w:val="left"/>
            </w:pPr>
            <w:r>
              <w:rPr>
                <w:rFonts w:ascii="Calibri" w:cs="Calibri" w:eastAsia="Calibri" w:hAnsi="Calibri"/>
                <w:b w:val="false"/>
                <w:bCs w:val="false"/>
                <w:color w:val="0F1419"/>
                <w:sz w:val="18"/>
                <w:szCs w:val="18"/>
              </w:rPr>
              <w:t xml:space="preserve">🟡</w:t>
            </w:r>
          </w:p>
        </w:tc>
      </w:tr>
      <w:tr>
        <w:tc>
          <w:tcPr>
            <w:tcBorders>
              <w:top w:val="single" w:color="E2E8F0" w:sz="4"/>
              <w:left w:val="single" w:color="E2E8F0" w:sz="4"/>
              <w:bottom w:val="single" w:color="E2E8F0" w:sz="4"/>
              <w:right w:val="single" w:color="E2E8F0" w:sz="4"/>
            </w:tcBorders>
            <w:shd w:fill="FDF2F2" w:val="clear"/>
            <w:tcMar>
              <w:top w:type="dxa" w:w="90"/>
              <w:left w:type="dxa" w:w="120"/>
              <w:bottom w:type="dxa" w:w="90"/>
              <w:right w:type="dxa" w:w="120"/>
            </w:tcMar>
            <w:vAlign w:val="center"/>
          </w:tcPr>
          <w:p>
            <w:pPr>
              <w:jc w:val="left"/>
            </w:pPr>
            <w:r>
              <w:rPr>
                <w:rFonts w:ascii="Calibri" w:cs="Calibri" w:eastAsia="Calibri" w:hAnsi="Calibri"/>
                <w:b/>
                <w:bCs/>
                <w:color w:val="0F1419"/>
                <w:sz w:val="18"/>
                <w:szCs w:val="18"/>
              </w:rPr>
              <w:t xml:space="preserve">Technology</w:t>
            </w:r>
          </w:p>
        </w:tc>
        <w:tc>
          <w:tcPr>
            <w:tcBorders>
              <w:top w:val="single" w:color="E2E8F0" w:sz="4"/>
              <w:left w:val="single" w:color="E2E8F0" w:sz="4"/>
              <w:bottom w:val="single" w:color="E2E8F0" w:sz="4"/>
              <w:right w:val="single" w:color="E2E8F0" w:sz="4"/>
            </w:tcBorders>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0F1419"/>
                <w:sz w:val="18"/>
                <w:szCs w:val="18"/>
              </w:rPr>
              <w:t xml:space="preserve">11,710</w:t>
            </w:r>
          </w:p>
        </w:tc>
        <w:tc>
          <w:tcPr>
            <w:tcBorders>
              <w:top w:val="single" w:color="E2E8F0" w:sz="4"/>
              <w:left w:val="single" w:color="E2E8F0" w:sz="4"/>
              <w:bottom w:val="single" w:color="E2E8F0" w:sz="4"/>
              <w:right w:val="single" w:color="E2E8F0" w:sz="4"/>
            </w:tcBorders>
            <w:shd w:fill="FDF2F2" w:val="clear"/>
            <w:tcMar>
              <w:top w:type="dxa" w:w="90"/>
              <w:left w:type="dxa" w:w="120"/>
              <w:bottom w:type="dxa" w:w="90"/>
              <w:right w:type="dxa" w:w="120"/>
            </w:tcMar>
            <w:vAlign w:val="center"/>
          </w:tcPr>
          <w:p>
            <w:pPr>
              <w:jc w:val="left"/>
            </w:pPr>
            <w:r>
              <w:rPr>
                <w:rFonts w:ascii="Calibri" w:cs="Calibri" w:eastAsia="Calibri" w:hAnsi="Calibri"/>
                <w:b w:val="false"/>
                <w:bCs w:val="false"/>
                <w:color w:val="0F1419"/>
                <w:sz w:val="18"/>
                <w:szCs w:val="18"/>
              </w:rPr>
              <w:t xml:space="preserve">13,290</w:t>
            </w:r>
          </w:p>
        </w:tc>
        <w:tc>
          <w:tcPr>
            <w:tcBorders>
              <w:top w:val="single" w:color="E2E8F0" w:sz="4"/>
              <w:left w:val="single" w:color="E2E8F0" w:sz="4"/>
              <w:bottom w:val="single" w:color="E2E8F0" w:sz="4"/>
              <w:right w:val="single" w:color="E2E8F0" w:sz="4"/>
            </w:tcBorders>
            <w:shd w:fill="FDF2F2" w:val="clear"/>
            <w:tcMar>
              <w:top w:type="dxa" w:w="90"/>
              <w:left w:type="dxa" w:w="120"/>
              <w:bottom w:type="dxa" w:w="90"/>
              <w:right w:type="dxa" w:w="120"/>
            </w:tcMar>
            <w:vAlign w:val="center"/>
          </w:tcPr>
          <w:p>
            <w:pPr>
              <w:jc w:val="center"/>
            </w:pPr>
            <w:r>
              <w:rPr>
                <w:rFonts w:ascii="Calibri" w:cs="Calibri" w:eastAsia="Calibri" w:hAnsi="Calibri"/>
                <w:b/>
                <w:bCs/>
                <w:color w:val="C0392B"/>
                <w:sz w:val="18"/>
                <w:szCs w:val="18"/>
              </w:rPr>
              <w:t xml:space="preserve">+1,580</w:t>
            </w:r>
          </w:p>
        </w:tc>
        <w:tc>
          <w:tcPr>
            <w:tcBorders>
              <w:top w:val="single" w:color="E2E8F0" w:sz="4"/>
              <w:left w:val="single" w:color="E2E8F0" w:sz="4"/>
              <w:bottom w:val="single" w:color="E2E8F0" w:sz="4"/>
              <w:right w:val="single" w:color="E2E8F0" w:sz="4"/>
            </w:tcBorders>
            <w:shd w:fill="FDF2F2" w:val="clear"/>
            <w:tcMar>
              <w:top w:type="dxa" w:w="90"/>
              <w:left w:type="dxa" w:w="120"/>
              <w:bottom w:type="dxa" w:w="90"/>
              <w:right w:type="dxa" w:w="120"/>
            </w:tcMar>
            <w:vAlign w:val="center"/>
          </w:tcPr>
          <w:p>
            <w:pPr>
              <w:jc w:val="center"/>
            </w:pPr>
            <w:r>
              <w:rPr>
                <w:rFonts w:ascii="Calibri" w:cs="Calibri" w:eastAsia="Calibri" w:hAnsi="Calibri"/>
                <w:b/>
                <w:bCs/>
                <w:color w:val="C0392B"/>
                <w:sz w:val="18"/>
                <w:szCs w:val="18"/>
              </w:rPr>
              <w:t xml:space="preserve">+13.5%</w:t>
            </w:r>
          </w:p>
        </w:tc>
        <w:tc>
          <w:tcPr>
            <w:tcBorders>
              <w:top w:val="single" w:color="E2E8F0" w:sz="4"/>
              <w:left w:val="single" w:color="E2E8F0" w:sz="4"/>
              <w:bottom w:val="single" w:color="E2E8F0" w:sz="4"/>
              <w:right w:val="single" w:color="E2E8F0" w:sz="4"/>
            </w:tcBorders>
            <w:shd w:fill="FDF2F2" w:val="clear"/>
            <w:tcMar>
              <w:top w:type="dxa" w:w="90"/>
              <w:left w:type="dxa" w:w="120"/>
              <w:bottom w:type="dxa" w:w="90"/>
              <w:right w:type="dxa" w:w="120"/>
            </w:tcMar>
            <w:vAlign w:val="center"/>
          </w:tcPr>
          <w:p>
            <w:pPr>
              <w:jc w:val="left"/>
            </w:pPr>
            <w:r>
              <w:rPr>
                <w:rFonts w:ascii="Calibri" w:cs="Calibri" w:eastAsia="Calibri" w:hAnsi="Calibri"/>
                <w:b w:val="false"/>
                <w:bCs w:val="false"/>
                <w:color w:val="0F1419"/>
                <w:sz w:val="18"/>
                <w:szCs w:val="18"/>
              </w:rPr>
              <w:t xml:space="preserve">🔴</w:t>
            </w:r>
          </w:p>
        </w:tc>
      </w:tr>
      <w:tr>
        <w:tc>
          <w:tcPr>
            <w:tcBorders>
              <w:top w:val="single" w:color="E2E8F0" w:sz="4"/>
              <w:left w:val="single" w:color="E2E8F0" w:sz="4"/>
              <w:bottom w:val="single" w:color="E2E8F0" w:sz="4"/>
              <w:right w:val="single" w:color="E2E8F0" w:sz="4"/>
            </w:tcBorders>
            <w:shd w:fill="FDF2F2" w:val="clear"/>
            <w:tcMar>
              <w:top w:type="dxa" w:w="90"/>
              <w:left w:type="dxa" w:w="120"/>
              <w:bottom w:type="dxa" w:w="90"/>
              <w:right w:type="dxa" w:w="120"/>
            </w:tcMar>
            <w:vAlign w:val="center"/>
          </w:tcPr>
          <w:p>
            <w:pPr>
              <w:jc w:val="left"/>
            </w:pPr>
            <w:r>
              <w:rPr>
                <w:rFonts w:ascii="Calibri" w:cs="Calibri" w:eastAsia="Calibri" w:hAnsi="Calibri"/>
                <w:b w:val="false"/>
                <w:bCs w:val="false"/>
                <w:color w:val="0F1419"/>
                <w:sz w:val="18"/>
                <w:szCs w:val="18"/>
              </w:rPr>
              <w:t xml:space="preserve">Marketing</w:t>
            </w:r>
          </w:p>
        </w:tc>
        <w:tc>
          <w:tcPr>
            <w:tcBorders>
              <w:top w:val="single" w:color="E2E8F0" w:sz="4"/>
              <w:left w:val="single" w:color="E2E8F0" w:sz="4"/>
              <w:bottom w:val="single" w:color="E2E8F0" w:sz="4"/>
              <w:right w:val="single" w:color="E2E8F0" w:sz="4"/>
            </w:tcBorders>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0F1419"/>
                <w:sz w:val="18"/>
                <w:szCs w:val="18"/>
              </w:rPr>
              <w:t xml:space="preserve">4,640</w:t>
            </w:r>
          </w:p>
        </w:tc>
        <w:tc>
          <w:tcPr>
            <w:tcBorders>
              <w:top w:val="single" w:color="E2E8F0" w:sz="4"/>
              <w:left w:val="single" w:color="E2E8F0" w:sz="4"/>
              <w:bottom w:val="single" w:color="E2E8F0" w:sz="4"/>
              <w:right w:val="single" w:color="E2E8F0" w:sz="4"/>
            </w:tcBorders>
            <w:shd w:fill="FDF2F2" w:val="clear"/>
            <w:tcMar>
              <w:top w:type="dxa" w:w="90"/>
              <w:left w:type="dxa" w:w="120"/>
              <w:bottom w:type="dxa" w:w="90"/>
              <w:right w:type="dxa" w:w="120"/>
            </w:tcMar>
            <w:vAlign w:val="center"/>
          </w:tcPr>
          <w:p>
            <w:pPr>
              <w:jc w:val="left"/>
            </w:pPr>
            <w:r>
              <w:rPr>
                <w:rFonts w:ascii="Calibri" w:cs="Calibri" w:eastAsia="Calibri" w:hAnsi="Calibri"/>
                <w:b w:val="false"/>
                <w:bCs w:val="false"/>
                <w:color w:val="0F1419"/>
                <w:sz w:val="18"/>
                <w:szCs w:val="18"/>
              </w:rPr>
              <w:t xml:space="preserve">5,160</w:t>
            </w:r>
          </w:p>
        </w:tc>
        <w:tc>
          <w:tcPr>
            <w:tcBorders>
              <w:top w:val="single" w:color="E2E8F0" w:sz="4"/>
              <w:left w:val="single" w:color="E2E8F0" w:sz="4"/>
              <w:bottom w:val="single" w:color="E2E8F0" w:sz="4"/>
              <w:right w:val="single" w:color="E2E8F0" w:sz="4"/>
            </w:tcBorders>
            <w:shd w:fill="FDF2F2" w:val="clear"/>
            <w:tcMar>
              <w:top w:type="dxa" w:w="90"/>
              <w:left w:type="dxa" w:w="120"/>
              <w:bottom w:type="dxa" w:w="90"/>
              <w:right w:type="dxa" w:w="120"/>
            </w:tcMar>
            <w:vAlign w:val="center"/>
          </w:tcPr>
          <w:p>
            <w:pPr>
              <w:jc w:val="center"/>
            </w:pPr>
            <w:r>
              <w:rPr>
                <w:rFonts w:ascii="Calibri" w:cs="Calibri" w:eastAsia="Calibri" w:hAnsi="Calibri"/>
                <w:b w:val="false"/>
                <w:bCs w:val="false"/>
                <w:color w:val="C0392B"/>
                <w:sz w:val="18"/>
                <w:szCs w:val="18"/>
              </w:rPr>
              <w:t xml:space="preserve">+520</w:t>
            </w:r>
          </w:p>
        </w:tc>
        <w:tc>
          <w:tcPr>
            <w:tcBorders>
              <w:top w:val="single" w:color="E2E8F0" w:sz="4"/>
              <w:left w:val="single" w:color="E2E8F0" w:sz="4"/>
              <w:bottom w:val="single" w:color="E2E8F0" w:sz="4"/>
              <w:right w:val="single" w:color="E2E8F0" w:sz="4"/>
            </w:tcBorders>
            <w:shd w:fill="FDF2F2" w:val="clear"/>
            <w:tcMar>
              <w:top w:type="dxa" w:w="90"/>
              <w:left w:type="dxa" w:w="120"/>
              <w:bottom w:type="dxa" w:w="90"/>
              <w:right w:type="dxa" w:w="120"/>
            </w:tcMar>
            <w:vAlign w:val="center"/>
          </w:tcPr>
          <w:p>
            <w:pPr>
              <w:jc w:val="center"/>
            </w:pPr>
            <w:r>
              <w:rPr>
                <w:rFonts w:ascii="Calibri" w:cs="Calibri" w:eastAsia="Calibri" w:hAnsi="Calibri"/>
                <w:b w:val="false"/>
                <w:bCs w:val="false"/>
                <w:color w:val="C0392B"/>
                <w:sz w:val="18"/>
                <w:szCs w:val="18"/>
              </w:rPr>
              <w:t xml:space="preserve">+11.2%</w:t>
            </w:r>
          </w:p>
        </w:tc>
        <w:tc>
          <w:tcPr>
            <w:tcBorders>
              <w:top w:val="single" w:color="E2E8F0" w:sz="4"/>
              <w:left w:val="single" w:color="E2E8F0" w:sz="4"/>
              <w:bottom w:val="single" w:color="E2E8F0" w:sz="4"/>
              <w:right w:val="single" w:color="E2E8F0" w:sz="4"/>
            </w:tcBorders>
            <w:shd w:fill="FDF2F2" w:val="clear"/>
            <w:tcMar>
              <w:top w:type="dxa" w:w="90"/>
              <w:left w:type="dxa" w:w="120"/>
              <w:bottom w:type="dxa" w:w="90"/>
              <w:right w:type="dxa" w:w="120"/>
            </w:tcMar>
            <w:vAlign w:val="center"/>
          </w:tcPr>
          <w:p>
            <w:pPr>
              <w:jc w:val="left"/>
            </w:pPr>
            <w:r>
              <w:rPr>
                <w:rFonts w:ascii="Calibri" w:cs="Calibri" w:eastAsia="Calibri" w:hAnsi="Calibri"/>
                <w:b w:val="false"/>
                <w:bCs w:val="false"/>
                <w:color w:val="0F1419"/>
                <w:sz w:val="18"/>
                <w:szCs w:val="18"/>
              </w:rPr>
              <w:t xml:space="preserve">🔴</w:t>
            </w:r>
          </w:p>
        </w:tc>
      </w:tr>
      <w:tr>
        <w:tc>
          <w:tcPr>
            <w:tcBorders>
              <w:top w:val="single" w:color="E2E8F0" w:sz="4"/>
              <w:left w:val="single" w:color="E2E8F0" w:sz="4"/>
              <w:bottom w:val="single" w:color="E2E8F0" w:sz="4"/>
              <w:right w:val="single" w:color="E2E8F0" w:sz="4"/>
            </w:tcBorders>
            <w:shd w:fill="F0F4F8" w:val="clear"/>
            <w:tcMar>
              <w:top w:type="dxa" w:w="90"/>
              <w:left w:type="dxa" w:w="120"/>
              <w:bottom w:type="dxa" w:w="90"/>
              <w:right w:type="dxa" w:w="120"/>
            </w:tcMar>
            <w:vAlign w:val="center"/>
          </w:tcPr>
          <w:p>
            <w:pPr>
              <w:jc w:val="left"/>
            </w:pPr>
            <w:r>
              <w:rPr>
                <w:rFonts w:ascii="Calibri" w:cs="Calibri" w:eastAsia="Calibri" w:hAnsi="Calibri"/>
                <w:b w:val="false"/>
                <w:bCs w:val="false"/>
                <w:color w:val="0F1419"/>
                <w:sz w:val="18"/>
                <w:szCs w:val="18"/>
              </w:rPr>
              <w:t xml:space="preserve">Operations</w:t>
            </w:r>
          </w:p>
        </w:tc>
        <w:tc>
          <w:tcPr>
            <w:tcBorders>
              <w:top w:val="single" w:color="E2E8F0" w:sz="4"/>
              <w:left w:val="single" w:color="E2E8F0" w:sz="4"/>
              <w:bottom w:val="single" w:color="E2E8F0" w:sz="4"/>
              <w:right w:val="single" w:color="E2E8F0" w:sz="4"/>
            </w:tcBorders>
            <w:shd w:fill="F0F4F8" w:val="clear"/>
            <w:tcMar>
              <w:top w:type="dxa" w:w="90"/>
              <w:left w:type="dxa" w:w="120"/>
              <w:bottom w:type="dxa" w:w="90"/>
              <w:right w:type="dxa" w:w="120"/>
            </w:tcMar>
            <w:vAlign w:val="center"/>
          </w:tcPr>
          <w:p>
            <w:pPr>
              <w:jc w:val="left"/>
            </w:pPr>
            <w:r>
              <w:rPr>
                <w:rFonts w:ascii="Calibri" w:cs="Calibri" w:eastAsia="Calibri" w:hAnsi="Calibri"/>
                <w:b w:val="false"/>
                <w:bCs w:val="false"/>
                <w:color w:val="0F1419"/>
                <w:sz w:val="18"/>
                <w:szCs w:val="18"/>
              </w:rPr>
              <w:t xml:space="preserve">6,920</w:t>
            </w:r>
          </w:p>
        </w:tc>
        <w:tc>
          <w:tcPr>
            <w:tcBorders>
              <w:top w:val="single" w:color="E2E8F0" w:sz="4"/>
              <w:left w:val="single" w:color="E2E8F0" w:sz="4"/>
              <w:bottom w:val="single" w:color="E2E8F0" w:sz="4"/>
              <w:right w:val="single" w:color="E2E8F0" w:sz="4"/>
            </w:tcBorders>
            <w:shd w:fill="F0F4F8" w:val="clear"/>
            <w:tcMar>
              <w:top w:type="dxa" w:w="90"/>
              <w:left w:type="dxa" w:w="120"/>
              <w:bottom w:type="dxa" w:w="90"/>
              <w:right w:type="dxa" w:w="120"/>
            </w:tcMar>
            <w:vAlign w:val="center"/>
          </w:tcPr>
          <w:p>
            <w:pPr>
              <w:jc w:val="left"/>
            </w:pPr>
            <w:r>
              <w:rPr>
                <w:rFonts w:ascii="Calibri" w:cs="Calibri" w:eastAsia="Calibri" w:hAnsi="Calibri"/>
                <w:b w:val="false"/>
                <w:bCs w:val="false"/>
                <w:color w:val="0F1419"/>
                <w:sz w:val="18"/>
                <w:szCs w:val="18"/>
              </w:rPr>
              <w:t xml:space="preserve">7,020</w:t>
            </w:r>
          </w:p>
        </w:tc>
        <w:tc>
          <w:tcPr>
            <w:tcBorders>
              <w:top w:val="single" w:color="E2E8F0" w:sz="4"/>
              <w:left w:val="single" w:color="E2E8F0" w:sz="4"/>
              <w:bottom w:val="single" w:color="E2E8F0" w:sz="4"/>
              <w:right w:val="single" w:color="E2E8F0" w:sz="4"/>
            </w:tcBorders>
            <w:shd w:fill="F0F4F8" w:val="clear"/>
            <w:tcMar>
              <w:top w:type="dxa" w:w="90"/>
              <w:left w:type="dxa" w:w="120"/>
              <w:bottom w:type="dxa" w:w="90"/>
              <w:right w:type="dxa" w:w="120"/>
            </w:tcMar>
            <w:vAlign w:val="center"/>
          </w:tcPr>
          <w:p>
            <w:pPr>
              <w:jc w:val="center"/>
            </w:pPr>
            <w:r>
              <w:rPr>
                <w:rFonts w:ascii="Calibri" w:cs="Calibri" w:eastAsia="Calibri" w:hAnsi="Calibri"/>
                <w:b w:val="false"/>
                <w:bCs w:val="false"/>
                <w:color w:val="E07B39"/>
                <w:sz w:val="18"/>
                <w:szCs w:val="18"/>
              </w:rPr>
              <w:t xml:space="preserve">+100</w:t>
            </w:r>
          </w:p>
        </w:tc>
        <w:tc>
          <w:tcPr>
            <w:tcBorders>
              <w:top w:val="single" w:color="E2E8F0" w:sz="4"/>
              <w:left w:val="single" w:color="E2E8F0" w:sz="4"/>
              <w:bottom w:val="single" w:color="E2E8F0" w:sz="4"/>
              <w:right w:val="single" w:color="E2E8F0" w:sz="4"/>
            </w:tcBorders>
            <w:shd w:fill="F0F4F8" w:val="clear"/>
            <w:tcMar>
              <w:top w:type="dxa" w:w="90"/>
              <w:left w:type="dxa" w:w="120"/>
              <w:bottom w:type="dxa" w:w="90"/>
              <w:right w:type="dxa" w:w="120"/>
            </w:tcMar>
            <w:vAlign w:val="center"/>
          </w:tcPr>
          <w:p>
            <w:pPr>
              <w:jc w:val="center"/>
            </w:pPr>
            <w:r>
              <w:rPr>
                <w:rFonts w:ascii="Calibri" w:cs="Calibri" w:eastAsia="Calibri" w:hAnsi="Calibri"/>
                <w:b w:val="false"/>
                <w:bCs w:val="false"/>
                <w:color w:val="E07B39"/>
                <w:sz w:val="18"/>
                <w:szCs w:val="18"/>
              </w:rPr>
              <w:t xml:space="preserve">+1.4%</w:t>
            </w:r>
          </w:p>
        </w:tc>
        <w:tc>
          <w:tcPr>
            <w:tcBorders>
              <w:top w:val="single" w:color="E2E8F0" w:sz="4"/>
              <w:left w:val="single" w:color="E2E8F0" w:sz="4"/>
              <w:bottom w:val="single" w:color="E2E8F0" w:sz="4"/>
              <w:right w:val="single" w:color="E2E8F0" w:sz="4"/>
            </w:tcBorders>
            <w:shd w:fill="F0F4F8" w:val="clear"/>
            <w:tcMar>
              <w:top w:type="dxa" w:w="90"/>
              <w:left w:type="dxa" w:w="120"/>
              <w:bottom w:type="dxa" w:w="90"/>
              <w:right w:type="dxa" w:w="120"/>
            </w:tcMar>
            <w:vAlign w:val="center"/>
          </w:tcPr>
          <w:p>
            <w:pPr>
              <w:jc w:val="left"/>
            </w:pPr>
            <w:r>
              <w:rPr>
                <w:rFonts w:ascii="Calibri" w:cs="Calibri" w:eastAsia="Calibri" w:hAnsi="Calibri"/>
                <w:b w:val="false"/>
                <w:bCs w:val="false"/>
                <w:color w:val="0F1419"/>
                <w:sz w:val="18"/>
                <w:szCs w:val="18"/>
              </w:rPr>
              <w:t xml:space="preserve">🟡</w:t>
            </w:r>
          </w:p>
        </w:tc>
      </w:tr>
      <w:tr>
        <w:tc>
          <w:tcPr>
            <w:tcBorders>
              <w:top w:val="single" w:color="E2E8F0" w:sz="4"/>
              <w:left w:val="single" w:color="E2E8F0" w:sz="4"/>
              <w:bottom w:val="single" w:color="E2E8F0" w:sz="4"/>
              <w:right w:val="single" w:color="E2E8F0" w:sz="4"/>
            </w:tcBorders>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0F1419"/>
                <w:sz w:val="18"/>
                <w:szCs w:val="18"/>
              </w:rPr>
              <w:t xml:space="preserve">Compliance</w:t>
            </w:r>
          </w:p>
        </w:tc>
        <w:tc>
          <w:tcPr>
            <w:tcBorders>
              <w:top w:val="single" w:color="E2E8F0" w:sz="4"/>
              <w:left w:val="single" w:color="E2E8F0" w:sz="4"/>
              <w:bottom w:val="single" w:color="E2E8F0" w:sz="4"/>
              <w:right w:val="single" w:color="E2E8F0" w:sz="4"/>
            </w:tcBorders>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0F1419"/>
                <w:sz w:val="18"/>
                <w:szCs w:val="18"/>
              </w:rPr>
              <w:t xml:space="preserve">3,580</w:t>
            </w:r>
          </w:p>
        </w:tc>
        <w:tc>
          <w:tcPr>
            <w:tcBorders>
              <w:top w:val="single" w:color="E2E8F0" w:sz="4"/>
              <w:left w:val="single" w:color="E2E8F0" w:sz="4"/>
              <w:bottom w:val="single" w:color="E2E8F0" w:sz="4"/>
              <w:right w:val="single" w:color="E2E8F0" w:sz="4"/>
            </w:tcBorders>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0F1419"/>
                <w:sz w:val="18"/>
                <w:szCs w:val="18"/>
              </w:rPr>
              <w:t xml:space="preserve">3,842</w:t>
            </w:r>
          </w:p>
        </w:tc>
        <w:tc>
          <w:tcPr>
            <w:tcBorders>
              <w:top w:val="single" w:color="E2E8F0" w:sz="4"/>
              <w:left w:val="single" w:color="E2E8F0" w:sz="4"/>
              <w:bottom w:val="single" w:color="E2E8F0" w:sz="4"/>
              <w:right w:val="single" w:color="E2E8F0" w:sz="4"/>
            </w:tcBorders>
            <w:shd w:fill="FFFFFF" w:val="clear"/>
            <w:tcMar>
              <w:top w:type="dxa" w:w="90"/>
              <w:left w:type="dxa" w:w="120"/>
              <w:bottom w:type="dxa" w:w="90"/>
              <w:right w:type="dxa" w:w="120"/>
            </w:tcMar>
            <w:vAlign w:val="center"/>
          </w:tcPr>
          <w:p>
            <w:pPr>
              <w:jc w:val="center"/>
            </w:pPr>
            <w:r>
              <w:rPr>
                <w:rFonts w:ascii="Calibri" w:cs="Calibri" w:eastAsia="Calibri" w:hAnsi="Calibri"/>
                <w:b w:val="false"/>
                <w:bCs w:val="false"/>
                <w:color w:val="E07B39"/>
                <w:sz w:val="18"/>
                <w:szCs w:val="18"/>
              </w:rPr>
              <w:t xml:space="preserve">+262</w:t>
            </w:r>
          </w:p>
        </w:tc>
        <w:tc>
          <w:tcPr>
            <w:tcBorders>
              <w:top w:val="single" w:color="E2E8F0" w:sz="4"/>
              <w:left w:val="single" w:color="E2E8F0" w:sz="4"/>
              <w:bottom w:val="single" w:color="E2E8F0" w:sz="4"/>
              <w:right w:val="single" w:color="E2E8F0" w:sz="4"/>
            </w:tcBorders>
            <w:shd w:fill="FFFFFF" w:val="clear"/>
            <w:tcMar>
              <w:top w:type="dxa" w:w="90"/>
              <w:left w:type="dxa" w:w="120"/>
              <w:bottom w:type="dxa" w:w="90"/>
              <w:right w:type="dxa" w:w="120"/>
            </w:tcMar>
            <w:vAlign w:val="center"/>
          </w:tcPr>
          <w:p>
            <w:pPr>
              <w:jc w:val="center"/>
            </w:pPr>
            <w:r>
              <w:rPr>
                <w:rFonts w:ascii="Calibri" w:cs="Calibri" w:eastAsia="Calibri" w:hAnsi="Calibri"/>
                <w:b w:val="false"/>
                <w:bCs w:val="false"/>
                <w:color w:val="E07B39"/>
                <w:sz w:val="18"/>
                <w:szCs w:val="18"/>
              </w:rPr>
              <w:t xml:space="preserve">+7.3%</w:t>
            </w:r>
          </w:p>
        </w:tc>
        <w:tc>
          <w:tcPr>
            <w:tcBorders>
              <w:top w:val="single" w:color="E2E8F0" w:sz="4"/>
              <w:left w:val="single" w:color="E2E8F0" w:sz="4"/>
              <w:bottom w:val="single" w:color="E2E8F0" w:sz="4"/>
              <w:right w:val="single" w:color="E2E8F0" w:sz="4"/>
            </w:tcBorders>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0F1419"/>
                <w:sz w:val="18"/>
                <w:szCs w:val="18"/>
              </w:rPr>
              <w:t xml:space="preserve">🟡</w:t>
            </w:r>
          </w:p>
        </w:tc>
      </w:tr>
      <w:tr>
        <w:tc>
          <w:tcPr>
            <w:tcBorders>
              <w:top w:val="single" w:color="E2E8F0" w:sz="4"/>
              <w:left w:val="single" w:color="E2E8F0" w:sz="4"/>
              <w:bottom w:val="single" w:color="E2E8F0" w:sz="4"/>
              <w:right w:val="single" w:color="E2E8F0" w:sz="4"/>
            </w:tcBorders>
            <w:shd w:fill="E8F5F0" w:val="clear"/>
            <w:tcMar>
              <w:top w:type="dxa" w:w="90"/>
              <w:left w:type="dxa" w:w="120"/>
              <w:bottom w:type="dxa" w:w="90"/>
              <w:right w:type="dxa" w:w="120"/>
            </w:tcMar>
            <w:vAlign w:val="center"/>
          </w:tcPr>
          <w:p>
            <w:pPr>
              <w:jc w:val="left"/>
            </w:pPr>
            <w:r>
              <w:rPr>
                <w:rFonts w:ascii="Calibri" w:cs="Calibri" w:eastAsia="Calibri" w:hAnsi="Calibri"/>
                <w:b w:val="false"/>
                <w:bCs w:val="false"/>
                <w:color w:val="0F1419"/>
                <w:sz w:val="18"/>
                <w:szCs w:val="18"/>
              </w:rPr>
              <w:t xml:space="preserve">Facilities</w:t>
            </w:r>
          </w:p>
        </w:tc>
        <w:tc>
          <w:tcPr>
            <w:tcBorders>
              <w:top w:val="single" w:color="E2E8F0" w:sz="4"/>
              <w:left w:val="single" w:color="E2E8F0" w:sz="4"/>
              <w:bottom w:val="single" w:color="E2E8F0" w:sz="4"/>
              <w:right w:val="single" w:color="E2E8F0" w:sz="4"/>
            </w:tcBorders>
            <w:shd w:fill="E8F5F0" w:val="clear"/>
            <w:tcMar>
              <w:top w:type="dxa" w:w="90"/>
              <w:left w:type="dxa" w:w="120"/>
              <w:bottom w:type="dxa" w:w="90"/>
              <w:right w:type="dxa" w:w="120"/>
            </w:tcMar>
            <w:vAlign w:val="center"/>
          </w:tcPr>
          <w:p>
            <w:pPr>
              <w:jc w:val="left"/>
            </w:pPr>
            <w:r>
              <w:rPr>
                <w:rFonts w:ascii="Calibri" w:cs="Calibri" w:eastAsia="Calibri" w:hAnsi="Calibri"/>
                <w:b w:val="false"/>
                <w:bCs w:val="false"/>
                <w:color w:val="0F1419"/>
                <w:sz w:val="18"/>
                <w:szCs w:val="18"/>
              </w:rPr>
              <w:t xml:space="preserve">2,220</w:t>
            </w:r>
          </w:p>
        </w:tc>
        <w:tc>
          <w:tcPr>
            <w:tcBorders>
              <w:top w:val="single" w:color="E2E8F0" w:sz="4"/>
              <w:left w:val="single" w:color="E2E8F0" w:sz="4"/>
              <w:bottom w:val="single" w:color="E2E8F0" w:sz="4"/>
              <w:right w:val="single" w:color="E2E8F0" w:sz="4"/>
            </w:tcBorders>
            <w:shd w:fill="E8F5F0" w:val="clear"/>
            <w:tcMar>
              <w:top w:type="dxa" w:w="90"/>
              <w:left w:type="dxa" w:w="120"/>
              <w:bottom w:type="dxa" w:w="90"/>
              <w:right w:type="dxa" w:w="120"/>
            </w:tcMar>
            <w:vAlign w:val="center"/>
          </w:tcPr>
          <w:p>
            <w:pPr>
              <w:jc w:val="left"/>
            </w:pPr>
            <w:r>
              <w:rPr>
                <w:rFonts w:ascii="Calibri" w:cs="Calibri" w:eastAsia="Calibri" w:hAnsi="Calibri"/>
                <w:b w:val="false"/>
                <w:bCs w:val="false"/>
                <w:color w:val="0F1419"/>
                <w:sz w:val="18"/>
                <w:szCs w:val="18"/>
              </w:rPr>
              <w:t xml:space="preserve">2,240</w:t>
            </w:r>
          </w:p>
        </w:tc>
        <w:tc>
          <w:tcPr>
            <w:tcBorders>
              <w:top w:val="single" w:color="E2E8F0" w:sz="4"/>
              <w:left w:val="single" w:color="E2E8F0" w:sz="4"/>
              <w:bottom w:val="single" w:color="E2E8F0" w:sz="4"/>
              <w:right w:val="single" w:color="E2E8F0" w:sz="4"/>
            </w:tcBorders>
            <w:shd w:fill="E8F5F0" w:val="clear"/>
            <w:tcMar>
              <w:top w:type="dxa" w:w="90"/>
              <w:left w:type="dxa" w:w="120"/>
              <w:bottom w:type="dxa" w:w="90"/>
              <w:right w:type="dxa" w:w="120"/>
            </w:tcMar>
            <w:vAlign w:val="center"/>
          </w:tcPr>
          <w:p>
            <w:pPr>
              <w:jc w:val="center"/>
            </w:pPr>
            <w:r>
              <w:rPr>
                <w:rFonts w:ascii="Calibri" w:cs="Calibri" w:eastAsia="Calibri" w:hAnsi="Calibri"/>
                <w:b w:val="false"/>
                <w:bCs w:val="false"/>
                <w:color w:val="1A6B4A"/>
                <w:sz w:val="18"/>
                <w:szCs w:val="18"/>
              </w:rPr>
              <w:t xml:space="preserve">+20</w:t>
            </w:r>
          </w:p>
        </w:tc>
        <w:tc>
          <w:tcPr>
            <w:tcBorders>
              <w:top w:val="single" w:color="E2E8F0" w:sz="4"/>
              <w:left w:val="single" w:color="E2E8F0" w:sz="4"/>
              <w:bottom w:val="single" w:color="E2E8F0" w:sz="4"/>
              <w:right w:val="single" w:color="E2E8F0" w:sz="4"/>
            </w:tcBorders>
            <w:shd w:fill="E8F5F0" w:val="clear"/>
            <w:tcMar>
              <w:top w:type="dxa" w:w="90"/>
              <w:left w:type="dxa" w:w="120"/>
              <w:bottom w:type="dxa" w:w="90"/>
              <w:right w:type="dxa" w:w="120"/>
            </w:tcMar>
            <w:vAlign w:val="center"/>
          </w:tcPr>
          <w:p>
            <w:pPr>
              <w:jc w:val="center"/>
            </w:pPr>
            <w:r>
              <w:rPr>
                <w:rFonts w:ascii="Calibri" w:cs="Calibri" w:eastAsia="Calibri" w:hAnsi="Calibri"/>
                <w:b w:val="false"/>
                <w:bCs w:val="false"/>
                <w:color w:val="1A6B4A"/>
                <w:sz w:val="18"/>
                <w:szCs w:val="18"/>
              </w:rPr>
              <w:t xml:space="preserve">+0.9%</w:t>
            </w:r>
          </w:p>
        </w:tc>
        <w:tc>
          <w:tcPr>
            <w:tcBorders>
              <w:top w:val="single" w:color="E2E8F0" w:sz="4"/>
              <w:left w:val="single" w:color="E2E8F0" w:sz="4"/>
              <w:bottom w:val="single" w:color="E2E8F0" w:sz="4"/>
              <w:right w:val="single" w:color="E2E8F0" w:sz="4"/>
            </w:tcBorders>
            <w:shd w:fill="E8F5F0" w:val="clear"/>
            <w:tcMar>
              <w:top w:type="dxa" w:w="90"/>
              <w:left w:type="dxa" w:w="120"/>
              <w:bottom w:type="dxa" w:w="90"/>
              <w:right w:type="dxa" w:w="120"/>
            </w:tcMar>
            <w:vAlign w:val="center"/>
          </w:tcPr>
          <w:p>
            <w:pPr>
              <w:jc w:val="left"/>
            </w:pPr>
            <w:r>
              <w:rPr>
                <w:rFonts w:ascii="Calibri" w:cs="Calibri" w:eastAsia="Calibri" w:hAnsi="Calibri"/>
                <w:b w:val="false"/>
                <w:bCs w:val="false"/>
                <w:color w:val="0F1419"/>
                <w:sz w:val="18"/>
                <w:szCs w:val="18"/>
              </w:rPr>
              <w:t xml:space="preserve">🟢</w:t>
            </w:r>
          </w:p>
        </w:tc>
      </w:tr>
      <w:tr>
        <w:tc>
          <w:tcPr>
            <w:tcBorders>
              <w:top w:val="single" w:color="E2E8F0" w:sz="4"/>
              <w:left w:val="single" w:color="E2E8F0" w:sz="4"/>
              <w:bottom w:val="single" w:color="E2E8F0" w:sz="4"/>
              <w:right w:val="single" w:color="E2E8F0" w:sz="4"/>
            </w:tcBorders>
            <w:shd w:fill="FDF2F2" w:val="clear"/>
            <w:tcMar>
              <w:top w:type="dxa" w:w="90"/>
              <w:left w:type="dxa" w:w="120"/>
              <w:bottom w:type="dxa" w:w="90"/>
              <w:right w:type="dxa" w:w="120"/>
            </w:tcMar>
            <w:vAlign w:val="center"/>
          </w:tcPr>
          <w:p>
            <w:pPr>
              <w:jc w:val="left"/>
            </w:pPr>
            <w:r>
              <w:rPr>
                <w:rFonts w:ascii="Calibri" w:cs="Calibri" w:eastAsia="Calibri" w:hAnsi="Calibri"/>
                <w:b/>
                <w:bCs/>
                <w:color w:val="0F1419"/>
                <w:sz w:val="18"/>
                <w:szCs w:val="18"/>
              </w:rPr>
              <w:t xml:space="preserve">TOTAL</w:t>
            </w:r>
          </w:p>
        </w:tc>
        <w:tc>
          <w:tcPr>
            <w:tcBorders>
              <w:top w:val="single" w:color="E2E8F0" w:sz="4"/>
              <w:left w:val="single" w:color="E2E8F0" w:sz="4"/>
              <w:bottom w:val="single" w:color="E2E8F0" w:sz="4"/>
              <w:right w:val="single" w:color="E2E8F0" w:sz="4"/>
            </w:tcBorders>
            <w:shd w:fill="FDF2F2" w:val="clear"/>
            <w:tcMar>
              <w:top w:type="dxa" w:w="90"/>
              <w:left w:type="dxa" w:w="120"/>
              <w:bottom w:type="dxa" w:w="90"/>
              <w:right w:type="dxa" w:w="120"/>
            </w:tcMar>
            <w:vAlign w:val="center"/>
          </w:tcPr>
          <w:p>
            <w:pPr>
              <w:jc w:val="left"/>
            </w:pPr>
            <w:r>
              <w:rPr>
                <w:rFonts w:ascii="Calibri" w:cs="Calibri" w:eastAsia="Calibri" w:hAnsi="Calibri"/>
                <w:b/>
                <w:bCs/>
                <w:color w:val="0F1419"/>
                <w:sz w:val="18"/>
                <w:szCs w:val="18"/>
              </w:rPr>
              <w:t xml:space="preserve">77,545</w:t>
            </w:r>
          </w:p>
        </w:tc>
        <w:tc>
          <w:tcPr>
            <w:tcBorders>
              <w:top w:val="single" w:color="E2E8F0" w:sz="4"/>
              <w:left w:val="single" w:color="E2E8F0" w:sz="4"/>
              <w:bottom w:val="single" w:color="E2E8F0" w:sz="4"/>
              <w:right w:val="single" w:color="E2E8F0" w:sz="4"/>
            </w:tcBorders>
            <w:shd w:fill="FDF2F2" w:val="clear"/>
            <w:tcMar>
              <w:top w:type="dxa" w:w="90"/>
              <w:left w:type="dxa" w:w="120"/>
              <w:bottom w:type="dxa" w:w="90"/>
              <w:right w:type="dxa" w:w="120"/>
            </w:tcMar>
            <w:vAlign w:val="center"/>
          </w:tcPr>
          <w:p>
            <w:pPr>
              <w:jc w:val="left"/>
            </w:pPr>
            <w:r>
              <w:rPr>
                <w:rFonts w:ascii="Calibri" w:cs="Calibri" w:eastAsia="Calibri" w:hAnsi="Calibri"/>
                <w:b/>
                <w:bCs/>
                <w:color w:val="0F1419"/>
                <w:sz w:val="18"/>
                <w:szCs w:val="18"/>
              </w:rPr>
              <w:t xml:space="preserve">79,990</w:t>
            </w:r>
          </w:p>
        </w:tc>
        <w:tc>
          <w:tcPr>
            <w:tcBorders>
              <w:top w:val="single" w:color="E2E8F0" w:sz="4"/>
              <w:left w:val="single" w:color="E2E8F0" w:sz="4"/>
              <w:bottom w:val="single" w:color="E2E8F0" w:sz="4"/>
              <w:right w:val="single" w:color="E2E8F0" w:sz="4"/>
            </w:tcBorders>
            <w:shd w:fill="FDF2F2" w:val="clear"/>
            <w:tcMar>
              <w:top w:type="dxa" w:w="90"/>
              <w:left w:type="dxa" w:w="120"/>
              <w:bottom w:type="dxa" w:w="90"/>
              <w:right w:type="dxa" w:w="120"/>
            </w:tcMar>
            <w:vAlign w:val="center"/>
          </w:tcPr>
          <w:p>
            <w:pPr>
              <w:jc w:val="center"/>
            </w:pPr>
            <w:r>
              <w:rPr>
                <w:rFonts w:ascii="Calibri" w:cs="Calibri" w:eastAsia="Calibri" w:hAnsi="Calibri"/>
                <w:b/>
                <w:bCs/>
                <w:color w:val="C0392B"/>
                <w:sz w:val="18"/>
                <w:szCs w:val="18"/>
              </w:rPr>
              <w:t xml:space="preserve">+2,445</w:t>
            </w:r>
          </w:p>
        </w:tc>
        <w:tc>
          <w:tcPr>
            <w:tcBorders>
              <w:top w:val="single" w:color="E2E8F0" w:sz="4"/>
              <w:left w:val="single" w:color="E2E8F0" w:sz="4"/>
              <w:bottom w:val="single" w:color="E2E8F0" w:sz="4"/>
              <w:right w:val="single" w:color="E2E8F0" w:sz="4"/>
            </w:tcBorders>
            <w:shd w:fill="FDF2F2" w:val="clear"/>
            <w:tcMar>
              <w:top w:type="dxa" w:w="90"/>
              <w:left w:type="dxa" w:w="120"/>
              <w:bottom w:type="dxa" w:w="90"/>
              <w:right w:type="dxa" w:w="120"/>
            </w:tcMar>
            <w:vAlign w:val="center"/>
          </w:tcPr>
          <w:p>
            <w:pPr>
              <w:jc w:val="center"/>
            </w:pPr>
            <w:r>
              <w:rPr>
                <w:rFonts w:ascii="Calibri" w:cs="Calibri" w:eastAsia="Calibri" w:hAnsi="Calibri"/>
                <w:b/>
                <w:bCs/>
                <w:color w:val="C0392B"/>
                <w:sz w:val="18"/>
                <w:szCs w:val="18"/>
              </w:rPr>
              <w:t xml:space="preserve">+3.2%</w:t>
            </w:r>
          </w:p>
        </w:tc>
        <w:tc>
          <w:tcPr>
            <w:tcBorders>
              <w:top w:val="single" w:color="E2E8F0" w:sz="4"/>
              <w:left w:val="single" w:color="E2E8F0" w:sz="4"/>
              <w:bottom w:val="single" w:color="E2E8F0" w:sz="4"/>
              <w:right w:val="single" w:color="E2E8F0" w:sz="4"/>
            </w:tcBorders>
            <w:shd w:fill="FDF2F2" w:val="clear"/>
            <w:tcMar>
              <w:top w:type="dxa" w:w="90"/>
              <w:left w:type="dxa" w:w="120"/>
              <w:bottom w:type="dxa" w:w="90"/>
              <w:right w:type="dxa" w:w="120"/>
            </w:tcMar>
            <w:vAlign w:val="center"/>
          </w:tcPr>
          <w:p>
            <w:pPr>
              <w:jc w:val="left"/>
            </w:pPr>
            <w:r>
              <w:rPr>
                <w:rFonts w:ascii="Calibri" w:cs="Calibri" w:eastAsia="Calibri" w:hAnsi="Calibri"/>
                <w:b w:val="false"/>
                <w:bCs w:val="false"/>
                <w:color w:val="0F1419"/>
                <w:sz w:val="18"/>
                <w:szCs w:val="18"/>
              </w:rPr>
              <w:t xml:space="preserve">🔴</w:t>
            </w:r>
          </w:p>
        </w:tc>
      </w:tr>
    </w:tbl>
    <w:p>
      <w:pPr>
        <w:spacing w:before="80" w:after="0"/>
      </w:pPr>
    </w:p>
    <w:p>
      <w:pPr>
        <w:spacing w:before="180" w:after="60"/>
      </w:pPr>
      <w:r>
        <w:rPr>
          <w:rFonts w:ascii="Calibri" w:cs="Calibri" w:eastAsia="Calibri" w:hAnsi="Calibri"/>
          <w:b/>
          <w:bCs/>
          <w:color w:val="0F1419"/>
          <w:sz w:val="21"/>
          <w:szCs w:val="21"/>
        </w:rPr>
        <w:t xml:space="preserve">3.2 Cost Commentary</w:t>
      </w:r>
    </w:p>
    <w:p>
      <w:pPr>
        <w:pStyle w:val="ListParagraph"/>
        <w:numPr>
          <w:ilvl w:val="0"/>
          <w:numId w:val="2"/>
        </w:numPr>
        <w:spacing w:before="40" w:after="40"/>
      </w:pPr>
      <w:r>
        <w:rPr>
          <w:rFonts w:ascii="Calibri" w:cs="Calibri" w:eastAsia="Calibri" w:hAnsi="Calibri"/>
          <w:color w:val="3D4A5A"/>
          <w:sz w:val="19"/>
          <w:szCs w:val="19"/>
        </w:rPr>
        <w:t xml:space="preserve"/>
      </w:r>
      <w:r>
        <w:rPr>
          <w:rFonts w:ascii="Calibri" w:cs="Calibri" w:eastAsia="Calibri" w:hAnsi="Calibri"/>
          <w:b/>
          <w:bCs/>
          <w:color w:val="0F1419"/>
          <w:sz w:val="19"/>
          <w:szCs w:val="19"/>
        </w:rPr>
        <w:t xml:space="preserve">Technology (+13.5%, A$1,580k over budget)</w:t>
      </w:r>
      <w:r>
        <w:rPr>
          <w:rFonts w:ascii="Calibri" w:cs="Calibri" w:eastAsia="Calibri" w:hAnsi="Calibri"/>
          <w:color w:val="3D4A5A"/>
          <w:sz w:val="19"/>
          <w:szCs w:val="19"/>
        </w:rPr>
        <w:t xml:space="preserve"> — Single largest cost overrun. Driven by unbudgeted cloud infrastructure costs following accelerated Digital Payments platform build-out, and three unplanned vendor licence upgrades in H2. Technology costs are now the second-largest cost category. A technology cost review has been commissioned for Q1 2025.</w:t>
      </w:r>
    </w:p>
    <w:p>
      <w:pPr>
        <w:pStyle w:val="ListParagraph"/>
        <w:numPr>
          <w:ilvl w:val="0"/>
          <w:numId w:val="2"/>
        </w:numPr>
        <w:spacing w:before="40" w:after="40"/>
      </w:pPr>
      <w:r>
        <w:rPr>
          <w:rFonts w:ascii="Calibri" w:cs="Calibri" w:eastAsia="Calibri" w:hAnsi="Calibri"/>
          <w:color w:val="3D4A5A"/>
          <w:sz w:val="19"/>
          <w:szCs w:val="19"/>
        </w:rPr>
        <w:t xml:space="preserve"/>
      </w:r>
      <w:r>
        <w:rPr>
          <w:rFonts w:ascii="Calibri" w:cs="Calibri" w:eastAsia="Calibri" w:hAnsi="Calibri"/>
          <w:b/>
          <w:bCs/>
          <w:color w:val="0F1419"/>
          <w:sz w:val="19"/>
          <w:szCs w:val="19"/>
        </w:rPr>
        <w:t xml:space="preserve">Marketing (+11.2%, A$520k over budget)</w:t>
      </w:r>
      <w:r>
        <w:rPr>
          <w:rFonts w:ascii="Calibri" w:cs="Calibri" w:eastAsia="Calibri" w:hAnsi="Calibri"/>
          <w:color w:val="3D4A5A"/>
          <w:sz w:val="19"/>
          <w:szCs w:val="19"/>
        </w:rPr>
        <w:t xml:space="preserve"> — Overrun concentrated in H2 when additional Digital Payments campaign spend was approved mid-year to support merchant acquisition targets. Given the product's revenue outperformance, this spend was commercially justified.</w:t>
      </w:r>
    </w:p>
    <w:p>
      <w:pPr>
        <w:pStyle w:val="ListParagraph"/>
        <w:numPr>
          <w:ilvl w:val="0"/>
          <w:numId w:val="2"/>
        </w:numPr>
        <w:spacing w:before="40" w:after="40"/>
      </w:pPr>
      <w:r>
        <w:rPr>
          <w:rFonts w:ascii="Calibri" w:cs="Calibri" w:eastAsia="Calibri" w:hAnsi="Calibri"/>
          <w:color w:val="3D4A5A"/>
          <w:sz w:val="19"/>
          <w:szCs w:val="19"/>
        </w:rPr>
        <w:t xml:space="preserve"/>
      </w:r>
      <w:r>
        <w:rPr>
          <w:rFonts w:ascii="Calibri" w:cs="Calibri" w:eastAsia="Calibri" w:hAnsi="Calibri"/>
          <w:b/>
          <w:bCs/>
          <w:color w:val="0F1419"/>
          <w:sz w:val="19"/>
          <w:szCs w:val="19"/>
        </w:rPr>
        <w:t xml:space="preserve">Compliance (+7.3%, A$262k over budget)</w:t>
      </w:r>
      <w:r>
        <w:rPr>
          <w:rFonts w:ascii="Calibri" w:cs="Calibri" w:eastAsia="Calibri" w:hAnsi="Calibri"/>
          <w:color w:val="3D4A5A"/>
          <w:sz w:val="19"/>
          <w:szCs w:val="19"/>
        </w:rPr>
        <w:t xml:space="preserve"> — Driven by increased regulatory reporting requirements from APRA and three unbudgeted external reviews required during the year. Compliance cost pressures are structural and expected to continue in FY2025.</w:t>
      </w:r>
    </w:p>
    <w:p>
      <w:pPr>
        <w:pStyle w:val="ListParagraph"/>
        <w:numPr>
          <w:ilvl w:val="0"/>
          <w:numId w:val="2"/>
        </w:numPr>
        <w:spacing w:before="40" w:after="40"/>
      </w:pPr>
      <w:r>
        <w:rPr>
          <w:rFonts w:ascii="Calibri" w:cs="Calibri" w:eastAsia="Calibri" w:hAnsi="Calibri"/>
          <w:color w:val="3D4A5A"/>
          <w:sz w:val="19"/>
          <w:szCs w:val="19"/>
        </w:rPr>
        <w:t xml:space="preserve"/>
      </w:r>
      <w:r>
        <w:rPr>
          <w:rFonts w:ascii="Calibri" w:cs="Calibri" w:eastAsia="Calibri" w:hAnsi="Calibri"/>
          <w:b/>
          <w:bCs/>
          <w:color w:val="0F1419"/>
          <w:sz w:val="19"/>
          <w:szCs w:val="19"/>
        </w:rPr>
        <w:t xml:space="preserve">Personnel (+1.6%)</w:t>
      </w:r>
      <w:r>
        <w:rPr>
          <w:rFonts w:ascii="Calibri" w:cs="Calibri" w:eastAsia="Calibri" w:hAnsi="Calibri"/>
          <w:color w:val="3D4A5A"/>
          <w:sz w:val="19"/>
          <w:szCs w:val="19"/>
        </w:rPr>
        <w:t xml:space="preserve"> — Broadly in line. Three additional headcount approvals in H2 for Digital Payments and Wealth Management to support growth, partially offset by delayed recruitment in Business Lending.</w:t>
      </w:r>
    </w:p>
    <w:p>
      <w:pPr>
        <w:spacing w:before="200" w:after="0"/>
      </w:pPr>
    </w:p>
    <w:p>
      <w:r>
        <w:br w:type="page"/>
      </w:r>
    </w:p>
    <w:p>
      <w:pPr>
        <w:pBdr>
          <w:bottom w:val="single" w:color="1A6B4A" w:sz="8" w:space="4"/>
        </w:pBdr>
        <w:spacing w:before="280" w:after="80"/>
      </w:pPr>
      <w:r>
        <w:rPr>
          <w:rFonts w:ascii="Calibri" w:cs="Calibri" w:eastAsia="Calibri" w:hAnsi="Calibri"/>
          <w:b/>
          <w:bCs/>
          <w:color w:val="1A6B4A"/>
          <w:sz w:val="22"/>
          <w:szCs w:val="22"/>
        </w:rPr>
        <w:t xml:space="preserve">4. EBITDA &amp; MARGIN ANALYSIS</w:t>
      </w:r>
    </w:p>
    <w:p>
      <w:pPr>
        <w:spacing w:before="50" w:after="50"/>
      </w:pPr>
      <w:r>
        <w:rPr>
          <w:rFonts w:ascii="Calibri" w:cs="Calibri" w:eastAsia="Calibri" w:hAnsi="Calibri"/>
          <w:color w:val="3D4A5A"/>
          <w:sz w:val="19"/>
          <w:szCs w:val="19"/>
        </w:rPr>
        <w:t xml:space="preserve"/>
      </w:r>
      <w:r>
        <w:rPr>
          <w:rFonts w:ascii="Calibri" w:cs="Calibri" w:eastAsia="Calibri" w:hAnsi="Calibri"/>
          <w:b/>
          <w:bCs/>
          <w:color w:val="0F1419"/>
          <w:sz w:val="19"/>
          <w:szCs w:val="19"/>
        </w:rPr>
        <w:t xml:space="preserve">EBITDA of A$71,317k was A$148k below budget (A$71,465k), a miss of -0.2%.</w:t>
      </w:r>
      <w:r>
        <w:rPr>
          <w:rFonts w:ascii="Calibri" w:cs="Calibri" w:eastAsia="Calibri" w:hAnsi="Calibri"/>
          <w:color w:val="3D4A5A"/>
          <w:sz w:val="19"/>
          <w:szCs w:val="19"/>
        </w:rPr>
        <w:t xml:space="preserve"> While the revenue line delivered a modest beat, cost growth outpaced revenue growth — resulting in </w:t>
      </w:r>
      <w:r>
        <w:rPr>
          <w:rFonts w:ascii="Calibri" w:cs="Calibri" w:eastAsia="Calibri" w:hAnsi="Calibri"/>
          <w:b/>
          <w:bCs/>
          <w:color w:val="0F1419"/>
          <w:sz w:val="19"/>
          <w:szCs w:val="19"/>
        </w:rPr>
        <w:t xml:space="preserve">EBITDA margin compression of 0.9 percentage points</w:t>
      </w:r>
      <w:r>
        <w:rPr>
          <w:rFonts w:ascii="Calibri" w:cs="Calibri" w:eastAsia="Calibri" w:hAnsi="Calibri"/>
          <w:color w:val="3D4A5A"/>
          <w:sz w:val="19"/>
          <w:szCs w:val="19"/>
        </w:rPr>
        <w:t xml:space="preserve"> from the budgeted 48.0% to the actual 47.1%.</w:t>
      </w:r>
    </w:p>
    <w:p>
      <w:pPr>
        <w:spacing w:before="40" w:after="0"/>
      </w:pPr>
    </w:p>
    <w:p>
      <w:pPr>
        <w:spacing w:before="50" w:after="50"/>
      </w:pPr>
      <w:r>
        <w:rPr>
          <w:rFonts w:ascii="Calibri" w:cs="Calibri" w:eastAsia="Calibri" w:hAnsi="Calibri"/>
          <w:color w:val="3D4A5A"/>
          <w:sz w:val="19"/>
          <w:szCs w:val="19"/>
        </w:rPr>
        <w:t xml:space="preserve">The margin compression was driven entirely by the Technology and Marketing cost overruns. On a normalised basis — excluding the unbudgeted Digital Payments campaign spend and cloud cost overruns — EBITDA margin would have been approximately 47.9%, broadly in line with budget.</w:t>
      </w:r>
    </w:p>
    <w:p>
      <w:pPr>
        <w:spacing w:before="40" w:after="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00"/>
        <w:gridCol w:w="1869"/>
        <w:gridCol w:w="1869"/>
        <w:gridCol w:w="1869"/>
        <w:gridCol w:w="1739"/>
      </w:tblGrid>
      <w:tr>
        <w:tc>
          <w:tcPr>
            <w:tcBorders>
              <w:top w:val="single" w:color="E2E8F0" w:sz="4"/>
              <w:left w:val="single" w:color="E2E8F0" w:sz="4"/>
              <w:bottom w:val="single" w:color="E2E8F0" w:sz="4"/>
              <w:right w:val="single" w:color="E2E8F0" w:sz="4"/>
            </w:tcBorders>
            <w:shd w:fill="1A6B4A" w:val="clear"/>
            <w:tcMar>
              <w:top w:type="dxa" w:w="90"/>
              <w:left w:type="dxa" w:w="120"/>
              <w:bottom w:type="dxa" w:w="90"/>
              <w:right w:type="dxa" w:w="120"/>
            </w:tcMar>
          </w:tcPr>
          <w:p>
            <w:r>
              <w:rPr>
                <w:rFonts w:ascii="Calibri" w:cs="Calibri" w:eastAsia="Calibri" w:hAnsi="Calibri"/>
                <w:b/>
                <w:bCs/>
                <w:color w:val="FFFFFF"/>
                <w:sz w:val="18"/>
                <w:szCs w:val="18"/>
              </w:rPr>
              <w:t xml:space="preserve">EBITDA Bridge (A$000s)</w:t>
            </w:r>
          </w:p>
        </w:tc>
        <w:tc>
          <w:tcPr>
            <w:tcBorders>
              <w:top w:val="single" w:color="E2E8F0" w:sz="4"/>
              <w:left w:val="single" w:color="E2E8F0" w:sz="4"/>
              <w:bottom w:val="single" w:color="E2E8F0" w:sz="4"/>
              <w:right w:val="single" w:color="E2E8F0" w:sz="4"/>
            </w:tcBorders>
            <w:shd w:fill="1A6B4A" w:val="clear"/>
            <w:tcMar>
              <w:top w:type="dxa" w:w="90"/>
              <w:left w:type="dxa" w:w="120"/>
              <w:bottom w:type="dxa" w:w="90"/>
              <w:right w:type="dxa" w:w="120"/>
            </w:tcMar>
          </w:tcPr>
          <w:p>
            <w:r>
              <w:rPr>
                <w:rFonts w:ascii="Calibri" w:cs="Calibri" w:eastAsia="Calibri" w:hAnsi="Calibri"/>
                <w:b/>
                <w:bCs/>
                <w:color w:val="FFFFFF"/>
                <w:sz w:val="18"/>
                <w:szCs w:val="18"/>
              </w:rPr>
              <w:t xml:space="preserve">Amount</w:t>
            </w:r>
          </w:p>
        </w:tc>
        <w:tc>
          <w:tcPr>
            <w:tcBorders>
              <w:top w:val="single" w:color="E2E8F0" w:sz="4"/>
              <w:left w:val="single" w:color="E2E8F0" w:sz="4"/>
              <w:bottom w:val="single" w:color="E2E8F0" w:sz="4"/>
              <w:right w:val="single" w:color="E2E8F0" w:sz="4"/>
            </w:tcBorders>
            <w:shd w:fill="1A6B4A" w:val="clear"/>
            <w:tcMar>
              <w:top w:type="dxa" w:w="90"/>
              <w:left w:type="dxa" w:w="120"/>
              <w:bottom w:type="dxa" w:w="90"/>
              <w:right w:type="dxa" w:w="120"/>
            </w:tcMar>
          </w:tcPr>
          <w:p>
            <w:r>
              <w:rPr>
                <w:rFonts w:ascii="Calibri" w:cs="Calibri" w:eastAsia="Calibri" w:hAnsi="Calibri"/>
                <w:b/>
                <w:bCs/>
                <w:color w:val="FFFFFF"/>
                <w:sz w:val="18"/>
                <w:szCs w:val="18"/>
              </w:rPr>
              <w:t xml:space="preserve">Direction</w:t>
            </w:r>
          </w:p>
        </w:tc>
        <w:tc>
          <w:tcPr>
            <w:tcBorders>
              <w:top w:val="single" w:color="E2E8F0" w:sz="4"/>
              <w:left w:val="single" w:color="E2E8F0" w:sz="4"/>
              <w:bottom w:val="single" w:color="E2E8F0" w:sz="4"/>
              <w:right w:val="single" w:color="E2E8F0" w:sz="4"/>
            </w:tcBorders>
            <w:shd w:fill="1A6B4A" w:val="clear"/>
            <w:tcMar>
              <w:top w:type="dxa" w:w="90"/>
              <w:left w:type="dxa" w:w="120"/>
              <w:bottom w:type="dxa" w:w="90"/>
              <w:right w:type="dxa" w:w="120"/>
            </w:tcMar>
          </w:tcPr>
          <w:p>
            <w:r>
              <w:rPr>
                <w:rFonts w:ascii="Calibri" w:cs="Calibri" w:eastAsia="Calibri" w:hAnsi="Calibri"/>
                <w:b/>
                <w:bCs/>
                <w:color w:val="FFFFFF"/>
                <w:sz w:val="18"/>
                <w:szCs w:val="18"/>
              </w:rPr>
              <w:t xml:space="preserve">Category</w:t>
            </w:r>
          </w:p>
        </w:tc>
        <w:tc>
          <w:tcPr>
            <w:tcBorders>
              <w:top w:val="single" w:color="E2E8F0" w:sz="4"/>
              <w:left w:val="single" w:color="E2E8F0" w:sz="4"/>
              <w:bottom w:val="single" w:color="E2E8F0" w:sz="4"/>
              <w:right w:val="single" w:color="E2E8F0" w:sz="4"/>
            </w:tcBorders>
            <w:shd w:fill="1A6B4A" w:val="clear"/>
            <w:tcMar>
              <w:top w:type="dxa" w:w="90"/>
              <w:left w:type="dxa" w:w="120"/>
              <w:bottom w:type="dxa" w:w="90"/>
              <w:right w:type="dxa" w:w="120"/>
            </w:tcMar>
          </w:tcPr>
          <w:p>
            <w:r>
              <w:rPr>
                <w:rFonts w:ascii="Calibri" w:cs="Calibri" w:eastAsia="Calibri" w:hAnsi="Calibri"/>
                <w:b/>
                <w:bCs/>
                <w:color w:val="FFFFFF"/>
                <w:sz w:val="18"/>
                <w:szCs w:val="18"/>
              </w:rPr>
              <w:t xml:space="preserve">Comment</w:t>
            </w:r>
          </w:p>
        </w:tc>
      </w:tr>
      <w:tr>
        <w:tc>
          <w:tcPr>
            <w:tcBorders>
              <w:top w:val="single" w:color="E2E8F0" w:sz="4"/>
              <w:left w:val="single" w:color="E2E8F0" w:sz="4"/>
              <w:bottom w:val="single" w:color="E2E8F0" w:sz="4"/>
              <w:right w:val="single" w:color="E2E8F0" w:sz="4"/>
            </w:tcBorders>
            <w:shd w:fill="F0F4F8" w:val="clear"/>
            <w:tcMar>
              <w:top w:type="dxa" w:w="90"/>
              <w:left w:type="dxa" w:w="120"/>
              <w:bottom w:type="dxa" w:w="90"/>
              <w:right w:type="dxa" w:w="120"/>
            </w:tcMar>
            <w:vAlign w:val="center"/>
          </w:tcPr>
          <w:p>
            <w:pPr>
              <w:jc w:val="left"/>
            </w:pPr>
            <w:r>
              <w:rPr>
                <w:rFonts w:ascii="Calibri" w:cs="Calibri" w:eastAsia="Calibri" w:hAnsi="Calibri"/>
                <w:b/>
                <w:bCs/>
                <w:color w:val="0F1419"/>
                <w:sz w:val="18"/>
                <w:szCs w:val="18"/>
              </w:rPr>
              <w:t xml:space="preserve">Budget EBITDA</w:t>
            </w:r>
          </w:p>
        </w:tc>
        <w:tc>
          <w:tcPr>
            <w:tcBorders>
              <w:top w:val="single" w:color="E2E8F0" w:sz="4"/>
              <w:left w:val="single" w:color="E2E8F0" w:sz="4"/>
              <w:bottom w:val="single" w:color="E2E8F0" w:sz="4"/>
              <w:right w:val="single" w:color="E2E8F0" w:sz="4"/>
            </w:tcBorders>
            <w:shd w:fill="F0F4F8" w:val="clear"/>
            <w:tcMar>
              <w:top w:type="dxa" w:w="90"/>
              <w:left w:type="dxa" w:w="120"/>
              <w:bottom w:type="dxa" w:w="90"/>
              <w:right w:type="dxa" w:w="120"/>
            </w:tcMar>
            <w:vAlign w:val="center"/>
          </w:tcPr>
          <w:p>
            <w:pPr>
              <w:jc w:val="left"/>
            </w:pPr>
            <w:r>
              <w:rPr>
                <w:rFonts w:ascii="Calibri" w:cs="Calibri" w:eastAsia="Calibri" w:hAnsi="Calibri"/>
                <w:b/>
                <w:bCs/>
                <w:color w:val="0F1419"/>
                <w:sz w:val="18"/>
                <w:szCs w:val="18"/>
              </w:rPr>
              <w:t xml:space="preserve">71,465</w:t>
            </w:r>
          </w:p>
        </w:tc>
        <w:tc>
          <w:tcPr>
            <w:tcBorders>
              <w:top w:val="single" w:color="E2E8F0" w:sz="4"/>
              <w:left w:val="single" w:color="E2E8F0" w:sz="4"/>
              <w:bottom w:val="single" w:color="E2E8F0" w:sz="4"/>
              <w:right w:val="single" w:color="E2E8F0" w:sz="4"/>
            </w:tcBorders>
            <w:shd w:fill="F0F4F8" w:val="clear"/>
            <w:tcMar>
              <w:top w:type="dxa" w:w="90"/>
              <w:left w:type="dxa" w:w="120"/>
              <w:bottom w:type="dxa" w:w="90"/>
              <w:right w:type="dxa" w:w="120"/>
            </w:tcMar>
            <w:vAlign w:val="center"/>
          </w:tcPr>
          <w:p>
            <w:pPr>
              <w:jc w:val="left"/>
            </w:pPr>
            <w:r>
              <w:rPr>
                <w:rFonts w:ascii="Calibri" w:cs="Calibri" w:eastAsia="Calibri" w:hAnsi="Calibri"/>
                <w:b w:val="false"/>
                <w:bCs w:val="false"/>
                <w:color w:val="0F1419"/>
                <w:sz w:val="18"/>
                <w:szCs w:val="18"/>
              </w:rPr>
              <w:t xml:space="preserve"/>
            </w:r>
          </w:p>
        </w:tc>
        <w:tc>
          <w:tcPr>
            <w:tcBorders>
              <w:top w:val="single" w:color="E2E8F0" w:sz="4"/>
              <w:left w:val="single" w:color="E2E8F0" w:sz="4"/>
              <w:bottom w:val="single" w:color="E2E8F0" w:sz="4"/>
              <w:right w:val="single" w:color="E2E8F0" w:sz="4"/>
            </w:tcBorders>
            <w:shd w:fill="F0F4F8" w:val="clear"/>
            <w:tcMar>
              <w:top w:type="dxa" w:w="90"/>
              <w:left w:type="dxa" w:w="120"/>
              <w:bottom w:type="dxa" w:w="90"/>
              <w:right w:type="dxa" w:w="120"/>
            </w:tcMar>
            <w:vAlign w:val="center"/>
          </w:tcPr>
          <w:p>
            <w:pPr>
              <w:jc w:val="left"/>
            </w:pPr>
            <w:r>
              <w:rPr>
                <w:rFonts w:ascii="Calibri" w:cs="Calibri" w:eastAsia="Calibri" w:hAnsi="Calibri"/>
                <w:b w:val="false"/>
                <w:bCs w:val="false"/>
                <w:color w:val="0F1419"/>
                <w:sz w:val="18"/>
                <w:szCs w:val="18"/>
              </w:rPr>
              <w:t xml:space="preserve">Starting point</w:t>
            </w:r>
          </w:p>
        </w:tc>
        <w:tc>
          <w:tcPr>
            <w:tcBorders>
              <w:top w:val="single" w:color="E2E8F0" w:sz="4"/>
              <w:left w:val="single" w:color="E2E8F0" w:sz="4"/>
              <w:bottom w:val="single" w:color="E2E8F0" w:sz="4"/>
              <w:right w:val="single" w:color="E2E8F0" w:sz="4"/>
            </w:tcBorders>
            <w:shd w:fill="F0F4F8" w:val="clear"/>
            <w:tcMar>
              <w:top w:type="dxa" w:w="90"/>
              <w:left w:type="dxa" w:w="120"/>
              <w:bottom w:type="dxa" w:w="90"/>
              <w:right w:type="dxa" w:w="120"/>
            </w:tcMar>
            <w:vAlign w:val="center"/>
          </w:tcPr>
          <w:p>
            <w:pPr>
              <w:jc w:val="left"/>
            </w:pPr>
            <w:r>
              <w:rPr>
                <w:rFonts w:ascii="Calibri" w:cs="Calibri" w:eastAsia="Calibri" w:hAnsi="Calibri"/>
                <w:b w:val="false"/>
                <w:bCs w:val="false"/>
                <w:color w:val="0F1419"/>
                <w:sz w:val="18"/>
                <w:szCs w:val="18"/>
              </w:rPr>
              <w:t xml:space="preserve"/>
            </w:r>
          </w:p>
        </w:tc>
      </w:tr>
      <w:tr>
        <w:tc>
          <w:tcPr>
            <w:tcBorders>
              <w:top w:val="single" w:color="E2E8F0" w:sz="4"/>
              <w:left w:val="single" w:color="E2E8F0" w:sz="4"/>
              <w:bottom w:val="single" w:color="E2E8F0" w:sz="4"/>
              <w:right w:val="single" w:color="E2E8F0" w:sz="4"/>
            </w:tcBorders>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0F1419"/>
                <w:sz w:val="18"/>
                <w:szCs w:val="18"/>
              </w:rPr>
              <w:t xml:space="preserve">+ Revenue beat</w:t>
            </w:r>
          </w:p>
        </w:tc>
        <w:tc>
          <w:tcPr>
            <w:tcBorders>
              <w:top w:val="single" w:color="E2E8F0" w:sz="4"/>
              <w:left w:val="single" w:color="E2E8F0" w:sz="4"/>
              <w:bottom w:val="single" w:color="E2E8F0" w:sz="4"/>
              <w:right w:val="single" w:color="E2E8F0" w:sz="4"/>
            </w:tcBorders>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A6B4A"/>
                <w:sz w:val="18"/>
                <w:szCs w:val="18"/>
              </w:rPr>
              <w:t xml:space="preserve">+2,297</w:t>
            </w:r>
          </w:p>
        </w:tc>
        <w:tc>
          <w:tcPr>
            <w:tcBorders>
              <w:top w:val="single" w:color="E2E8F0" w:sz="4"/>
              <w:left w:val="single" w:color="E2E8F0" w:sz="4"/>
              <w:bottom w:val="single" w:color="E2E8F0" w:sz="4"/>
              <w:right w:val="single" w:color="E2E8F0" w:sz="4"/>
            </w:tcBorders>
            <w:shd w:fill="FFFFFF" w:val="clear"/>
            <w:tcMar>
              <w:top w:type="dxa" w:w="90"/>
              <w:left w:type="dxa" w:w="120"/>
              <w:bottom w:type="dxa" w:w="90"/>
              <w:right w:type="dxa" w:w="120"/>
            </w:tcMar>
            <w:vAlign w:val="center"/>
          </w:tcPr>
          <w:p>
            <w:pPr>
              <w:jc w:val="center"/>
            </w:pPr>
            <w:r>
              <w:rPr>
                <w:rFonts w:ascii="Calibri" w:cs="Calibri" w:eastAsia="Calibri" w:hAnsi="Calibri"/>
                <w:b w:val="false"/>
                <w:bCs w:val="false"/>
                <w:color w:val="1A6B4A"/>
                <w:sz w:val="18"/>
                <w:szCs w:val="18"/>
              </w:rPr>
              <w:t xml:space="preserve">Positive</w:t>
            </w:r>
          </w:p>
        </w:tc>
        <w:tc>
          <w:tcPr>
            <w:tcBorders>
              <w:top w:val="single" w:color="E2E8F0" w:sz="4"/>
              <w:left w:val="single" w:color="E2E8F0" w:sz="4"/>
              <w:bottom w:val="single" w:color="E2E8F0" w:sz="4"/>
              <w:right w:val="single" w:color="E2E8F0" w:sz="4"/>
            </w:tcBorders>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0F1419"/>
                <w:sz w:val="18"/>
                <w:szCs w:val="18"/>
              </w:rPr>
              <w:t xml:space="preserve">Digital Payments + Wealth</w:t>
            </w:r>
          </w:p>
        </w:tc>
        <w:tc>
          <w:tcPr>
            <w:tcBorders>
              <w:top w:val="single" w:color="E2E8F0" w:sz="4"/>
              <w:left w:val="single" w:color="E2E8F0" w:sz="4"/>
              <w:bottom w:val="single" w:color="E2E8F0" w:sz="4"/>
              <w:right w:val="single" w:color="E2E8F0" w:sz="4"/>
            </w:tcBorders>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0F1419"/>
                <w:sz w:val="18"/>
                <w:szCs w:val="18"/>
              </w:rPr>
              <w:t xml:space="preserve">Partially offsets costs</w:t>
            </w:r>
          </w:p>
        </w:tc>
      </w:tr>
      <w:tr>
        <w:tc>
          <w:tcPr>
            <w:tcBorders>
              <w:top w:val="single" w:color="E2E8F0" w:sz="4"/>
              <w:left w:val="single" w:color="E2E8F0" w:sz="4"/>
              <w:bottom w:val="single" w:color="E2E8F0" w:sz="4"/>
              <w:right w:val="single" w:color="E2E8F0" w:sz="4"/>
            </w:tcBorders>
            <w:shd w:fill="FDF2F2" w:val="clear"/>
            <w:tcMar>
              <w:top w:type="dxa" w:w="90"/>
              <w:left w:type="dxa" w:w="120"/>
              <w:bottom w:type="dxa" w:w="90"/>
              <w:right w:type="dxa" w:w="120"/>
            </w:tcMar>
            <w:vAlign w:val="center"/>
          </w:tcPr>
          <w:p>
            <w:pPr>
              <w:jc w:val="left"/>
            </w:pPr>
            <w:r>
              <w:rPr>
                <w:rFonts w:ascii="Calibri" w:cs="Calibri" w:eastAsia="Calibri" w:hAnsi="Calibri"/>
                <w:b w:val="false"/>
                <w:bCs w:val="false"/>
                <w:color w:val="0F1419"/>
                <w:sz w:val="18"/>
                <w:szCs w:val="18"/>
              </w:rPr>
              <w:t xml:space="preserve">- Technology overrun</w:t>
            </w:r>
          </w:p>
        </w:tc>
        <w:tc>
          <w:tcPr>
            <w:tcBorders>
              <w:top w:val="single" w:color="E2E8F0" w:sz="4"/>
              <w:left w:val="single" w:color="E2E8F0" w:sz="4"/>
              <w:bottom w:val="single" w:color="E2E8F0" w:sz="4"/>
              <w:right w:val="single" w:color="E2E8F0" w:sz="4"/>
            </w:tcBorders>
            <w:shd w:fill="FDF2F2" w:val="clear"/>
            <w:tcMar>
              <w:top w:type="dxa" w:w="90"/>
              <w:left w:type="dxa" w:w="120"/>
              <w:bottom w:type="dxa" w:w="90"/>
              <w:right w:type="dxa" w:w="120"/>
            </w:tcMar>
            <w:vAlign w:val="center"/>
          </w:tcPr>
          <w:p>
            <w:pPr>
              <w:jc w:val="left"/>
            </w:pPr>
            <w:r>
              <w:rPr>
                <w:rFonts w:ascii="Calibri" w:cs="Calibri" w:eastAsia="Calibri" w:hAnsi="Calibri"/>
                <w:b w:val="false"/>
                <w:bCs w:val="false"/>
                <w:color w:val="C0392B"/>
                <w:sz w:val="18"/>
                <w:szCs w:val="18"/>
              </w:rPr>
              <w:t xml:space="preserve">-1,580</w:t>
            </w:r>
          </w:p>
        </w:tc>
        <w:tc>
          <w:tcPr>
            <w:tcBorders>
              <w:top w:val="single" w:color="E2E8F0" w:sz="4"/>
              <w:left w:val="single" w:color="E2E8F0" w:sz="4"/>
              <w:bottom w:val="single" w:color="E2E8F0" w:sz="4"/>
              <w:right w:val="single" w:color="E2E8F0" w:sz="4"/>
            </w:tcBorders>
            <w:shd w:fill="FDF2F2" w:val="clear"/>
            <w:tcMar>
              <w:top w:type="dxa" w:w="90"/>
              <w:left w:type="dxa" w:w="120"/>
              <w:bottom w:type="dxa" w:w="90"/>
              <w:right w:type="dxa" w:w="120"/>
            </w:tcMar>
            <w:vAlign w:val="center"/>
          </w:tcPr>
          <w:p>
            <w:pPr>
              <w:jc w:val="center"/>
            </w:pPr>
            <w:r>
              <w:rPr>
                <w:rFonts w:ascii="Calibri" w:cs="Calibri" w:eastAsia="Calibri" w:hAnsi="Calibri"/>
                <w:b w:val="false"/>
                <w:bCs w:val="false"/>
                <w:color w:val="C0392B"/>
                <w:sz w:val="18"/>
                <w:szCs w:val="18"/>
              </w:rPr>
              <w:t xml:space="preserve">Negative</w:t>
            </w:r>
          </w:p>
        </w:tc>
        <w:tc>
          <w:tcPr>
            <w:tcBorders>
              <w:top w:val="single" w:color="E2E8F0" w:sz="4"/>
              <w:left w:val="single" w:color="E2E8F0" w:sz="4"/>
              <w:bottom w:val="single" w:color="E2E8F0" w:sz="4"/>
              <w:right w:val="single" w:color="E2E8F0" w:sz="4"/>
            </w:tcBorders>
            <w:shd w:fill="FDF2F2" w:val="clear"/>
            <w:tcMar>
              <w:top w:type="dxa" w:w="90"/>
              <w:left w:type="dxa" w:w="120"/>
              <w:bottom w:type="dxa" w:w="90"/>
              <w:right w:type="dxa" w:w="120"/>
            </w:tcMar>
            <w:vAlign w:val="center"/>
          </w:tcPr>
          <w:p>
            <w:pPr>
              <w:jc w:val="left"/>
            </w:pPr>
            <w:r>
              <w:rPr>
                <w:rFonts w:ascii="Calibri" w:cs="Calibri" w:eastAsia="Calibri" w:hAnsi="Calibri"/>
                <w:b w:val="false"/>
                <w:bCs w:val="false"/>
                <w:color w:val="0F1419"/>
                <w:sz w:val="18"/>
                <w:szCs w:val="18"/>
              </w:rPr>
              <w:t xml:space="preserve">Cloud + licences</w:t>
            </w:r>
          </w:p>
        </w:tc>
        <w:tc>
          <w:tcPr>
            <w:tcBorders>
              <w:top w:val="single" w:color="E2E8F0" w:sz="4"/>
              <w:left w:val="single" w:color="E2E8F0" w:sz="4"/>
              <w:bottom w:val="single" w:color="E2E8F0" w:sz="4"/>
              <w:right w:val="single" w:color="E2E8F0" w:sz="4"/>
            </w:tcBorders>
            <w:shd w:fill="FDF2F2" w:val="clear"/>
            <w:tcMar>
              <w:top w:type="dxa" w:w="90"/>
              <w:left w:type="dxa" w:w="120"/>
              <w:bottom w:type="dxa" w:w="90"/>
              <w:right w:type="dxa" w:w="120"/>
            </w:tcMar>
            <w:vAlign w:val="center"/>
          </w:tcPr>
          <w:p>
            <w:pPr>
              <w:jc w:val="left"/>
            </w:pPr>
            <w:r>
              <w:rPr>
                <w:rFonts w:ascii="Calibri" w:cs="Calibri" w:eastAsia="Calibri" w:hAnsi="Calibri"/>
                <w:b w:val="false"/>
                <w:bCs w:val="false"/>
                <w:color w:val="0F1419"/>
                <w:sz w:val="18"/>
                <w:szCs w:val="18"/>
              </w:rPr>
              <w:t xml:space="preserve">Largest single driver</w:t>
            </w:r>
          </w:p>
        </w:tc>
      </w:tr>
      <w:tr>
        <w:tc>
          <w:tcPr>
            <w:tcBorders>
              <w:top w:val="single" w:color="E2E8F0" w:sz="4"/>
              <w:left w:val="single" w:color="E2E8F0" w:sz="4"/>
              <w:bottom w:val="single" w:color="E2E8F0" w:sz="4"/>
              <w:right w:val="single" w:color="E2E8F0" w:sz="4"/>
            </w:tcBorders>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0F1419"/>
                <w:sz w:val="18"/>
                <w:szCs w:val="18"/>
              </w:rPr>
              <w:t xml:space="preserve">- Marketing overrun</w:t>
            </w:r>
          </w:p>
        </w:tc>
        <w:tc>
          <w:tcPr>
            <w:tcBorders>
              <w:top w:val="single" w:color="E2E8F0" w:sz="4"/>
              <w:left w:val="single" w:color="E2E8F0" w:sz="4"/>
              <w:bottom w:val="single" w:color="E2E8F0" w:sz="4"/>
              <w:right w:val="single" w:color="E2E8F0" w:sz="4"/>
            </w:tcBorders>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C0392B"/>
                <w:sz w:val="18"/>
                <w:szCs w:val="18"/>
              </w:rPr>
              <w:t xml:space="preserve">-520</w:t>
            </w:r>
          </w:p>
        </w:tc>
        <w:tc>
          <w:tcPr>
            <w:tcBorders>
              <w:top w:val="single" w:color="E2E8F0" w:sz="4"/>
              <w:left w:val="single" w:color="E2E8F0" w:sz="4"/>
              <w:bottom w:val="single" w:color="E2E8F0" w:sz="4"/>
              <w:right w:val="single" w:color="E2E8F0" w:sz="4"/>
            </w:tcBorders>
            <w:shd w:fill="FFFFFF" w:val="clear"/>
            <w:tcMar>
              <w:top w:type="dxa" w:w="90"/>
              <w:left w:type="dxa" w:w="120"/>
              <w:bottom w:type="dxa" w:w="90"/>
              <w:right w:type="dxa" w:w="120"/>
            </w:tcMar>
            <w:vAlign w:val="center"/>
          </w:tcPr>
          <w:p>
            <w:pPr>
              <w:jc w:val="center"/>
            </w:pPr>
            <w:r>
              <w:rPr>
                <w:rFonts w:ascii="Calibri" w:cs="Calibri" w:eastAsia="Calibri" w:hAnsi="Calibri"/>
                <w:b w:val="false"/>
                <w:bCs w:val="false"/>
                <w:color w:val="C0392B"/>
                <w:sz w:val="18"/>
                <w:szCs w:val="18"/>
              </w:rPr>
              <w:t xml:space="preserve">Negative</w:t>
            </w:r>
          </w:p>
        </w:tc>
        <w:tc>
          <w:tcPr>
            <w:tcBorders>
              <w:top w:val="single" w:color="E2E8F0" w:sz="4"/>
              <w:left w:val="single" w:color="E2E8F0" w:sz="4"/>
              <w:bottom w:val="single" w:color="E2E8F0" w:sz="4"/>
              <w:right w:val="single" w:color="E2E8F0" w:sz="4"/>
            </w:tcBorders>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0F1419"/>
                <w:sz w:val="18"/>
                <w:szCs w:val="18"/>
              </w:rPr>
              <w:t xml:space="preserve">Digital Payments campaign</w:t>
            </w:r>
          </w:p>
        </w:tc>
        <w:tc>
          <w:tcPr>
            <w:tcBorders>
              <w:top w:val="single" w:color="E2E8F0" w:sz="4"/>
              <w:left w:val="single" w:color="E2E8F0" w:sz="4"/>
              <w:bottom w:val="single" w:color="E2E8F0" w:sz="4"/>
              <w:right w:val="single" w:color="E2E8F0" w:sz="4"/>
            </w:tcBorders>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0F1419"/>
                <w:sz w:val="18"/>
                <w:szCs w:val="18"/>
              </w:rPr>
              <w:t xml:space="preserve">Justified by revenue</w:t>
            </w:r>
          </w:p>
        </w:tc>
      </w:tr>
      <w:tr>
        <w:tc>
          <w:tcPr>
            <w:tcBorders>
              <w:top w:val="single" w:color="E2E8F0" w:sz="4"/>
              <w:left w:val="single" w:color="E2E8F0" w:sz="4"/>
              <w:bottom w:val="single" w:color="E2E8F0" w:sz="4"/>
              <w:right w:val="single" w:color="E2E8F0" w:sz="4"/>
            </w:tcBorders>
            <w:shd w:fill="F0F4F8" w:val="clear"/>
            <w:tcMar>
              <w:top w:type="dxa" w:w="90"/>
              <w:left w:type="dxa" w:w="120"/>
              <w:bottom w:type="dxa" w:w="90"/>
              <w:right w:type="dxa" w:w="120"/>
            </w:tcMar>
            <w:vAlign w:val="center"/>
          </w:tcPr>
          <w:p>
            <w:pPr>
              <w:jc w:val="left"/>
            </w:pPr>
            <w:r>
              <w:rPr>
                <w:rFonts w:ascii="Calibri" w:cs="Calibri" w:eastAsia="Calibri" w:hAnsi="Calibri"/>
                <w:b w:val="false"/>
                <w:bCs w:val="false"/>
                <w:color w:val="0F1419"/>
                <w:sz w:val="18"/>
                <w:szCs w:val="18"/>
              </w:rPr>
              <w:t xml:space="preserve">- Personnel / Other</w:t>
            </w:r>
          </w:p>
        </w:tc>
        <w:tc>
          <w:tcPr>
            <w:tcBorders>
              <w:top w:val="single" w:color="E2E8F0" w:sz="4"/>
              <w:left w:val="single" w:color="E2E8F0" w:sz="4"/>
              <w:bottom w:val="single" w:color="E2E8F0" w:sz="4"/>
              <w:right w:val="single" w:color="E2E8F0" w:sz="4"/>
            </w:tcBorders>
            <w:shd w:fill="F0F4F8" w:val="clear"/>
            <w:tcMar>
              <w:top w:type="dxa" w:w="90"/>
              <w:left w:type="dxa" w:w="120"/>
              <w:bottom w:type="dxa" w:w="90"/>
              <w:right w:type="dxa" w:w="120"/>
            </w:tcMar>
            <w:vAlign w:val="center"/>
          </w:tcPr>
          <w:p>
            <w:pPr>
              <w:jc w:val="left"/>
            </w:pPr>
            <w:r>
              <w:rPr>
                <w:rFonts w:ascii="Calibri" w:cs="Calibri" w:eastAsia="Calibri" w:hAnsi="Calibri"/>
                <w:b w:val="false"/>
                <w:bCs w:val="false"/>
                <w:color w:val="E07B39"/>
                <w:sz w:val="18"/>
                <w:szCs w:val="18"/>
              </w:rPr>
              <w:t xml:space="preserve">-345</w:t>
            </w:r>
          </w:p>
        </w:tc>
        <w:tc>
          <w:tcPr>
            <w:tcBorders>
              <w:top w:val="single" w:color="E2E8F0" w:sz="4"/>
              <w:left w:val="single" w:color="E2E8F0" w:sz="4"/>
              <w:bottom w:val="single" w:color="E2E8F0" w:sz="4"/>
              <w:right w:val="single" w:color="E2E8F0" w:sz="4"/>
            </w:tcBorders>
            <w:shd w:fill="F0F4F8" w:val="clear"/>
            <w:tcMar>
              <w:top w:type="dxa" w:w="90"/>
              <w:left w:type="dxa" w:w="120"/>
              <w:bottom w:type="dxa" w:w="90"/>
              <w:right w:type="dxa" w:w="120"/>
            </w:tcMar>
            <w:vAlign w:val="center"/>
          </w:tcPr>
          <w:p>
            <w:pPr>
              <w:jc w:val="center"/>
            </w:pPr>
            <w:r>
              <w:rPr>
                <w:rFonts w:ascii="Calibri" w:cs="Calibri" w:eastAsia="Calibri" w:hAnsi="Calibri"/>
                <w:b w:val="false"/>
                <w:bCs w:val="false"/>
                <w:color w:val="E07B39"/>
                <w:sz w:val="18"/>
                <w:szCs w:val="18"/>
              </w:rPr>
              <w:t xml:space="preserve">Slight drag</w:t>
            </w:r>
          </w:p>
        </w:tc>
        <w:tc>
          <w:tcPr>
            <w:tcBorders>
              <w:top w:val="single" w:color="E2E8F0" w:sz="4"/>
              <w:left w:val="single" w:color="E2E8F0" w:sz="4"/>
              <w:bottom w:val="single" w:color="E2E8F0" w:sz="4"/>
              <w:right w:val="single" w:color="E2E8F0" w:sz="4"/>
            </w:tcBorders>
            <w:shd w:fill="F0F4F8" w:val="clear"/>
            <w:tcMar>
              <w:top w:type="dxa" w:w="90"/>
              <w:left w:type="dxa" w:w="120"/>
              <w:bottom w:type="dxa" w:w="90"/>
              <w:right w:type="dxa" w:w="120"/>
            </w:tcMar>
            <w:vAlign w:val="center"/>
          </w:tcPr>
          <w:p>
            <w:pPr>
              <w:jc w:val="left"/>
            </w:pPr>
            <w:r>
              <w:rPr>
                <w:rFonts w:ascii="Calibri" w:cs="Calibri" w:eastAsia="Calibri" w:hAnsi="Calibri"/>
                <w:b w:val="false"/>
                <w:bCs w:val="false"/>
                <w:color w:val="0F1419"/>
                <w:sz w:val="18"/>
                <w:szCs w:val="18"/>
              </w:rPr>
              <w:t xml:space="preserve">Compliance + headcount</w:t>
            </w:r>
          </w:p>
        </w:tc>
        <w:tc>
          <w:tcPr>
            <w:tcBorders>
              <w:top w:val="single" w:color="E2E8F0" w:sz="4"/>
              <w:left w:val="single" w:color="E2E8F0" w:sz="4"/>
              <w:bottom w:val="single" w:color="E2E8F0" w:sz="4"/>
              <w:right w:val="single" w:color="E2E8F0" w:sz="4"/>
            </w:tcBorders>
            <w:shd w:fill="F0F4F8" w:val="clear"/>
            <w:tcMar>
              <w:top w:type="dxa" w:w="90"/>
              <w:left w:type="dxa" w:w="120"/>
              <w:bottom w:type="dxa" w:w="90"/>
              <w:right w:type="dxa" w:w="120"/>
            </w:tcMar>
            <w:vAlign w:val="center"/>
          </w:tcPr>
          <w:p>
            <w:pPr>
              <w:jc w:val="left"/>
            </w:pPr>
            <w:r>
              <w:rPr>
                <w:rFonts w:ascii="Calibri" w:cs="Calibri" w:eastAsia="Calibri" w:hAnsi="Calibri"/>
                <w:b w:val="false"/>
                <w:bCs w:val="false"/>
                <w:color w:val="0F1419"/>
                <w:sz w:val="18"/>
                <w:szCs w:val="18"/>
              </w:rPr>
              <w:t xml:space="preserve">Structural trend</w:t>
            </w:r>
          </w:p>
        </w:tc>
      </w:tr>
      <w:tr>
        <w:tc>
          <w:tcPr>
            <w:tcBorders>
              <w:top w:val="single" w:color="E2E8F0" w:sz="4"/>
              <w:left w:val="single" w:color="E2E8F0" w:sz="4"/>
              <w:bottom w:val="single" w:color="E2E8F0" w:sz="4"/>
              <w:right w:val="single" w:color="E2E8F0" w:sz="4"/>
            </w:tcBorders>
            <w:shd w:fill="FEF9EC" w:val="clear"/>
            <w:tcMar>
              <w:top w:type="dxa" w:w="90"/>
              <w:left w:type="dxa" w:w="120"/>
              <w:bottom w:type="dxa" w:w="90"/>
              <w:right w:type="dxa" w:w="120"/>
            </w:tcMar>
            <w:vAlign w:val="center"/>
          </w:tcPr>
          <w:p>
            <w:pPr>
              <w:jc w:val="left"/>
            </w:pPr>
            <w:r>
              <w:rPr>
                <w:rFonts w:ascii="Calibri" w:cs="Calibri" w:eastAsia="Calibri" w:hAnsi="Calibri"/>
                <w:b/>
                <w:bCs/>
                <w:color w:val="0F1419"/>
                <w:sz w:val="18"/>
                <w:szCs w:val="18"/>
              </w:rPr>
              <w:t xml:space="preserve">= Actual EBITDA</w:t>
            </w:r>
          </w:p>
        </w:tc>
        <w:tc>
          <w:tcPr>
            <w:tcBorders>
              <w:top w:val="single" w:color="E2E8F0" w:sz="4"/>
              <w:left w:val="single" w:color="E2E8F0" w:sz="4"/>
              <w:bottom w:val="single" w:color="E2E8F0" w:sz="4"/>
              <w:right w:val="single" w:color="E2E8F0" w:sz="4"/>
            </w:tcBorders>
            <w:shd w:fill="FEF9EC" w:val="clear"/>
            <w:tcMar>
              <w:top w:type="dxa" w:w="90"/>
              <w:left w:type="dxa" w:w="120"/>
              <w:bottom w:type="dxa" w:w="90"/>
              <w:right w:type="dxa" w:w="120"/>
            </w:tcMar>
            <w:vAlign w:val="center"/>
          </w:tcPr>
          <w:p>
            <w:pPr>
              <w:jc w:val="left"/>
            </w:pPr>
            <w:r>
              <w:rPr>
                <w:rFonts w:ascii="Calibri" w:cs="Calibri" w:eastAsia="Calibri" w:hAnsi="Calibri"/>
                <w:b/>
                <w:bCs/>
                <w:color w:val="0F1419"/>
                <w:sz w:val="18"/>
                <w:szCs w:val="18"/>
              </w:rPr>
              <w:t xml:space="preserve">71,317</w:t>
            </w:r>
          </w:p>
        </w:tc>
        <w:tc>
          <w:tcPr>
            <w:tcBorders>
              <w:top w:val="single" w:color="E2E8F0" w:sz="4"/>
              <w:left w:val="single" w:color="E2E8F0" w:sz="4"/>
              <w:bottom w:val="single" w:color="E2E8F0" w:sz="4"/>
              <w:right w:val="single" w:color="E2E8F0" w:sz="4"/>
            </w:tcBorders>
            <w:shd w:fill="FEF9EC" w:val="clear"/>
            <w:tcMar>
              <w:top w:type="dxa" w:w="90"/>
              <w:left w:type="dxa" w:w="120"/>
              <w:bottom w:type="dxa" w:w="90"/>
              <w:right w:type="dxa" w:w="120"/>
            </w:tcMar>
            <w:vAlign w:val="center"/>
          </w:tcPr>
          <w:p>
            <w:pPr>
              <w:jc w:val="center"/>
            </w:pPr>
            <w:r>
              <w:rPr>
                <w:rFonts w:ascii="Calibri" w:cs="Calibri" w:eastAsia="Calibri" w:hAnsi="Calibri"/>
                <w:b/>
                <w:bCs/>
                <w:color w:val="E07B39"/>
                <w:sz w:val="18"/>
                <w:szCs w:val="18"/>
              </w:rPr>
              <w:t xml:space="preserve">-148 vs budget</w:t>
            </w:r>
          </w:p>
        </w:tc>
        <w:tc>
          <w:tcPr>
            <w:tcBorders>
              <w:top w:val="single" w:color="E2E8F0" w:sz="4"/>
              <w:left w:val="single" w:color="E2E8F0" w:sz="4"/>
              <w:bottom w:val="single" w:color="E2E8F0" w:sz="4"/>
              <w:right w:val="single" w:color="E2E8F0" w:sz="4"/>
            </w:tcBorders>
            <w:shd w:fill="FEF9EC" w:val="clear"/>
            <w:tcMar>
              <w:top w:type="dxa" w:w="90"/>
              <w:left w:type="dxa" w:w="120"/>
              <w:bottom w:type="dxa" w:w="90"/>
              <w:right w:type="dxa" w:w="120"/>
            </w:tcMar>
            <w:vAlign w:val="center"/>
          </w:tcPr>
          <w:p>
            <w:pPr>
              <w:jc w:val="left"/>
            </w:pPr>
            <w:r>
              <w:rPr>
                <w:rFonts w:ascii="Calibri" w:cs="Calibri" w:eastAsia="Calibri" w:hAnsi="Calibri"/>
                <w:b w:val="false"/>
                <w:bCs w:val="false"/>
                <w:color w:val="0F1419"/>
                <w:sz w:val="18"/>
                <w:szCs w:val="18"/>
              </w:rPr>
              <w:t xml:space="preserve"/>
            </w:r>
          </w:p>
        </w:tc>
        <w:tc>
          <w:tcPr>
            <w:tcBorders>
              <w:top w:val="single" w:color="E2E8F0" w:sz="4"/>
              <w:left w:val="single" w:color="E2E8F0" w:sz="4"/>
              <w:bottom w:val="single" w:color="E2E8F0" w:sz="4"/>
              <w:right w:val="single" w:color="E2E8F0" w:sz="4"/>
            </w:tcBorders>
            <w:shd w:fill="FEF9EC" w:val="clear"/>
            <w:tcMar>
              <w:top w:type="dxa" w:w="90"/>
              <w:left w:type="dxa" w:w="120"/>
              <w:bottom w:type="dxa" w:w="90"/>
              <w:right w:type="dxa" w:w="120"/>
            </w:tcMar>
            <w:vAlign w:val="center"/>
          </w:tcPr>
          <w:p>
            <w:pPr>
              <w:jc w:val="left"/>
            </w:pPr>
            <w:r>
              <w:rPr>
                <w:rFonts w:ascii="Calibri" w:cs="Calibri" w:eastAsia="Calibri" w:hAnsi="Calibri"/>
                <w:b w:val="false"/>
                <w:bCs w:val="false"/>
                <w:color w:val="0F1419"/>
                <w:sz w:val="18"/>
                <w:szCs w:val="18"/>
              </w:rPr>
              <w:t xml:space="preserve">-0.2% miss</w:t>
            </w:r>
          </w:p>
        </w:tc>
      </w:tr>
    </w:tbl>
    <w:p>
      <w:pPr>
        <w:spacing w:before="200" w:after="0"/>
      </w:pPr>
    </w:p>
    <w:p>
      <w:r>
        <w:br w:type="page"/>
      </w:r>
    </w:p>
    <w:p>
      <w:pPr>
        <w:pBdr>
          <w:bottom w:val="single" w:color="1A6B4A" w:sz="8" w:space="4"/>
        </w:pBdr>
        <w:spacing w:before="280" w:after="80"/>
      </w:pPr>
      <w:r>
        <w:rPr>
          <w:rFonts w:ascii="Calibri" w:cs="Calibri" w:eastAsia="Calibri" w:hAnsi="Calibri"/>
          <w:b/>
          <w:bCs/>
          <w:color w:val="1A6B4A"/>
          <w:sz w:val="22"/>
          <w:szCs w:val="22"/>
        </w:rPr>
        <w:t xml:space="preserve">5. FY2025 OUTLOOK &amp; RISKS</w:t>
      </w:r>
    </w:p>
    <w:p>
      <w:pPr>
        <w:spacing w:before="180" w:after="60"/>
      </w:pPr>
      <w:r>
        <w:rPr>
          <w:rFonts w:ascii="Calibri" w:cs="Calibri" w:eastAsia="Calibri" w:hAnsi="Calibri"/>
          <w:b/>
          <w:bCs/>
          <w:color w:val="0F1419"/>
          <w:sz w:val="21"/>
          <w:szCs w:val="21"/>
        </w:rPr>
        <w:t xml:space="preserve">5.1 Revenue Outlook</w:t>
      </w:r>
    </w:p>
    <w:p>
      <w:pPr>
        <w:pStyle w:val="ListParagraph"/>
        <w:numPr>
          <w:ilvl w:val="0"/>
          <w:numId w:val="2"/>
        </w:numPr>
        <w:spacing w:before="40" w:after="40"/>
      </w:pPr>
      <w:r>
        <w:rPr>
          <w:rFonts w:ascii="Calibri" w:cs="Calibri" w:eastAsia="Calibri" w:hAnsi="Calibri"/>
          <w:color w:val="3D4A5A"/>
          <w:sz w:val="19"/>
          <w:szCs w:val="19"/>
        </w:rPr>
        <w:t xml:space="preserve"/>
      </w:r>
      <w:r>
        <w:rPr>
          <w:rFonts w:ascii="Calibri" w:cs="Calibri" w:eastAsia="Calibri" w:hAnsi="Calibri"/>
          <w:b/>
          <w:bCs/>
          <w:color w:val="0F1419"/>
          <w:sz w:val="19"/>
          <w:szCs w:val="19"/>
        </w:rPr>
        <w:t xml:space="preserve">Digital Payments</w:t>
      </w:r>
      <w:r>
        <w:rPr>
          <w:rFonts w:ascii="Calibri" w:cs="Calibri" w:eastAsia="Calibri" w:hAnsi="Calibri"/>
          <w:color w:val="3D4A5A"/>
          <w:sz w:val="19"/>
          <w:szCs w:val="19"/>
        </w:rPr>
        <w:t xml:space="preserve"> — Budget FY2025 growth of 20%+ based on merchant pipeline and B2B partnership expansion. High confidence given current trajectory.</w:t>
      </w:r>
    </w:p>
    <w:p>
      <w:pPr>
        <w:pStyle w:val="ListParagraph"/>
        <w:numPr>
          <w:ilvl w:val="0"/>
          <w:numId w:val="2"/>
        </w:numPr>
        <w:spacing w:before="40" w:after="40"/>
      </w:pPr>
      <w:r>
        <w:rPr>
          <w:rFonts w:ascii="Calibri" w:cs="Calibri" w:eastAsia="Calibri" w:hAnsi="Calibri"/>
          <w:color w:val="3D4A5A"/>
          <w:sz w:val="19"/>
          <w:szCs w:val="19"/>
        </w:rPr>
        <w:t xml:space="preserve"/>
      </w:r>
      <w:r>
        <w:rPr>
          <w:rFonts w:ascii="Calibri" w:cs="Calibri" w:eastAsia="Calibri" w:hAnsi="Calibri"/>
          <w:b/>
          <w:bCs/>
          <w:color w:val="0F1419"/>
          <w:sz w:val="19"/>
          <w:szCs w:val="19"/>
        </w:rPr>
        <w:t xml:space="preserve">Wealth Management</w:t>
      </w:r>
      <w:r>
        <w:rPr>
          <w:rFonts w:ascii="Calibri" w:cs="Calibri" w:eastAsia="Calibri" w:hAnsi="Calibri"/>
          <w:color w:val="3D4A5A"/>
          <w:sz w:val="19"/>
          <w:szCs w:val="19"/>
        </w:rPr>
        <w:t xml:space="preserve"> — Budget moderate growth (+6%) reflecting more challenging market conditions expected in 2025 as rate environment shifts.</w:t>
      </w:r>
    </w:p>
    <w:p>
      <w:pPr>
        <w:pStyle w:val="ListParagraph"/>
        <w:numPr>
          <w:ilvl w:val="0"/>
          <w:numId w:val="2"/>
        </w:numPr>
        <w:spacing w:before="40" w:after="40"/>
      </w:pPr>
      <w:r>
        <w:rPr>
          <w:rFonts w:ascii="Calibri" w:cs="Calibri" w:eastAsia="Calibri" w:hAnsi="Calibri"/>
          <w:color w:val="3D4A5A"/>
          <w:sz w:val="19"/>
          <w:szCs w:val="19"/>
        </w:rPr>
        <w:t xml:space="preserve"/>
      </w:r>
      <w:r>
        <w:rPr>
          <w:rFonts w:ascii="Calibri" w:cs="Calibri" w:eastAsia="Calibri" w:hAnsi="Calibri"/>
          <w:b/>
          <w:bCs/>
          <w:color w:val="0F1419"/>
          <w:sz w:val="19"/>
          <w:szCs w:val="19"/>
        </w:rPr>
        <w:t xml:space="preserve">Business Lending</w:t>
      </w:r>
      <w:r>
        <w:rPr>
          <w:rFonts w:ascii="Calibri" w:cs="Calibri" w:eastAsia="Calibri" w:hAnsi="Calibri"/>
          <w:color w:val="3D4A5A"/>
          <w:sz w:val="19"/>
          <w:szCs w:val="19"/>
        </w:rPr>
        <w:t xml:space="preserve"> — Recovery plan required. Target: return to budget by Q2 2025 through rate repricing and focus on higher-quality SME segment. Risk: credit quality deterioration could require further volume reduction.</w:t>
      </w:r>
    </w:p>
    <w:p>
      <w:pPr>
        <w:pStyle w:val="ListParagraph"/>
        <w:numPr>
          <w:ilvl w:val="0"/>
          <w:numId w:val="2"/>
        </w:numPr>
        <w:spacing w:before="40" w:after="40"/>
      </w:pPr>
      <w:r>
        <w:rPr>
          <w:rFonts w:ascii="Calibri" w:cs="Calibri" w:eastAsia="Calibri" w:hAnsi="Calibri"/>
          <w:color w:val="3D4A5A"/>
          <w:sz w:val="19"/>
          <w:szCs w:val="19"/>
        </w:rPr>
        <w:t xml:space="preserve"/>
      </w:r>
      <w:r>
        <w:rPr>
          <w:rFonts w:ascii="Calibri" w:cs="Calibri" w:eastAsia="Calibri" w:hAnsi="Calibri"/>
          <w:b/>
          <w:bCs/>
          <w:color w:val="0F1419"/>
          <w:sz w:val="19"/>
          <w:szCs w:val="19"/>
        </w:rPr>
        <w:t xml:space="preserve">Retail Banking</w:t>
      </w:r>
      <w:r>
        <w:rPr>
          <w:rFonts w:ascii="Calibri" w:cs="Calibri" w:eastAsia="Calibri" w:hAnsi="Calibri"/>
          <w:color w:val="3D4A5A"/>
          <w:sz w:val="19"/>
          <w:szCs w:val="19"/>
        </w:rPr>
        <w:t xml:space="preserve"> — Stable. NIM pressure expected to ease modestly as RBA begins rate cut cycle.</w:t>
      </w:r>
    </w:p>
    <w:p>
      <w:pPr>
        <w:spacing w:before="80" w:after="0"/>
      </w:pPr>
    </w:p>
    <w:p>
      <w:pPr>
        <w:spacing w:before="180" w:after="60"/>
      </w:pPr>
      <w:r>
        <w:rPr>
          <w:rFonts w:ascii="Calibri" w:cs="Calibri" w:eastAsia="Calibri" w:hAnsi="Calibri"/>
          <w:b/>
          <w:bCs/>
          <w:color w:val="0F1419"/>
          <w:sz w:val="21"/>
          <w:szCs w:val="21"/>
        </w:rPr>
        <w:t xml:space="preserve">5.2 Cost &amp; Margin Risks</w:t>
      </w:r>
    </w:p>
    <w:p>
      <w:pPr>
        <w:pStyle w:val="ListParagraph"/>
        <w:numPr>
          <w:ilvl w:val="0"/>
          <w:numId w:val="2"/>
        </w:numPr>
        <w:spacing w:before="40" w:after="40"/>
      </w:pPr>
      <w:r>
        <w:rPr>
          <w:rFonts w:ascii="Calibri" w:cs="Calibri" w:eastAsia="Calibri" w:hAnsi="Calibri"/>
          <w:color w:val="3D4A5A"/>
          <w:sz w:val="19"/>
          <w:szCs w:val="19"/>
        </w:rPr>
        <w:t xml:space="preserve"/>
      </w:r>
      <w:r>
        <w:rPr>
          <w:rFonts w:ascii="Calibri" w:cs="Calibri" w:eastAsia="Calibri" w:hAnsi="Calibri"/>
          <w:b/>
          <w:bCs/>
          <w:color w:val="0F1419"/>
          <w:sz w:val="19"/>
          <w:szCs w:val="19"/>
        </w:rPr>
        <w:t xml:space="preserve">Technology costs</w:t>
      </w:r>
      <w:r>
        <w:rPr>
          <w:rFonts w:ascii="Calibri" w:cs="Calibri" w:eastAsia="Calibri" w:hAnsi="Calibri"/>
          <w:color w:val="3D4A5A"/>
          <w:sz w:val="19"/>
          <w:szCs w:val="19"/>
        </w:rPr>
        <w:t xml:space="preserve"> — Critical risk for FY2025 margins. Cloud infrastructure costs are expected to grow 15-20% as Digital Payments scale continues. A technology cost governance framework must be implemented before FY2025 budget is set.</w:t>
      </w:r>
    </w:p>
    <w:p>
      <w:pPr>
        <w:pStyle w:val="ListParagraph"/>
        <w:numPr>
          <w:ilvl w:val="0"/>
          <w:numId w:val="2"/>
        </w:numPr>
        <w:spacing w:before="40" w:after="40"/>
      </w:pPr>
      <w:r>
        <w:rPr>
          <w:rFonts w:ascii="Calibri" w:cs="Calibri" w:eastAsia="Calibri" w:hAnsi="Calibri"/>
          <w:color w:val="3D4A5A"/>
          <w:sz w:val="19"/>
          <w:szCs w:val="19"/>
        </w:rPr>
        <w:t xml:space="preserve"/>
      </w:r>
      <w:r>
        <w:rPr>
          <w:rFonts w:ascii="Calibri" w:cs="Calibri" w:eastAsia="Calibri" w:hAnsi="Calibri"/>
          <w:b/>
          <w:bCs/>
          <w:color w:val="0F1419"/>
          <w:sz w:val="19"/>
          <w:szCs w:val="19"/>
        </w:rPr>
        <w:t xml:space="preserve">Compliance</w:t>
      </w:r>
      <w:r>
        <w:rPr>
          <w:rFonts w:ascii="Calibri" w:cs="Calibri" w:eastAsia="Calibri" w:hAnsi="Calibri"/>
          <w:color w:val="3D4A5A"/>
          <w:sz w:val="19"/>
          <w:szCs w:val="19"/>
        </w:rPr>
        <w:t xml:space="preserve"> — Structural upward pressure. APRA reporting requirements expanding in 2025. Budget +8% increase recommended.</w:t>
      </w:r>
    </w:p>
    <w:p>
      <w:pPr>
        <w:pStyle w:val="ListParagraph"/>
        <w:numPr>
          <w:ilvl w:val="0"/>
          <w:numId w:val="2"/>
        </w:numPr>
        <w:spacing w:before="40" w:after="40"/>
      </w:pPr>
      <w:r>
        <w:rPr>
          <w:rFonts w:ascii="Calibri" w:cs="Calibri" w:eastAsia="Calibri" w:hAnsi="Calibri"/>
          <w:color w:val="3D4A5A"/>
          <w:sz w:val="19"/>
          <w:szCs w:val="19"/>
        </w:rPr>
        <w:t xml:space="preserve"/>
      </w:r>
      <w:r>
        <w:rPr>
          <w:rFonts w:ascii="Calibri" w:cs="Calibri" w:eastAsia="Calibri" w:hAnsi="Calibri"/>
          <w:b/>
          <w:bCs/>
          <w:color w:val="0F1419"/>
          <w:sz w:val="19"/>
          <w:szCs w:val="19"/>
        </w:rPr>
        <w:t xml:space="preserve">Margin target</w:t>
      </w:r>
      <w:r>
        <w:rPr>
          <w:rFonts w:ascii="Calibri" w:cs="Calibri" w:eastAsia="Calibri" w:hAnsi="Calibri"/>
          <w:color w:val="3D4A5A"/>
          <w:sz w:val="19"/>
          <w:szCs w:val="19"/>
        </w:rPr>
        <w:t xml:space="preserve"> — Recommend maintaining 48.0% EBITDA margin target for FY2025 but this requires active technology cost management. Without intervention, margin would compress to approximately 46.5% on current cost trajectories.</w:t>
      </w:r>
    </w:p>
    <w:p>
      <w:pPr>
        <w:spacing w:before="80" w:after="0"/>
      </w:pPr>
    </w:p>
    <w:p>
      <w:pPr>
        <w:spacing w:before="180" w:after="60"/>
      </w:pPr>
      <w:r>
        <w:rPr>
          <w:rFonts w:ascii="Calibri" w:cs="Calibri" w:eastAsia="Calibri" w:hAnsi="Calibri"/>
          <w:b/>
          <w:bCs/>
          <w:color w:val="0F1419"/>
          <w:sz w:val="21"/>
          <w:szCs w:val="21"/>
        </w:rPr>
        <w:t xml:space="preserve">5.3 Management Actions Required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00"/>
        <w:gridCol w:w="2800"/>
        <w:gridCol w:w="2773"/>
        <w:gridCol w:w="3773"/>
      </w:tblGrid>
      <w:tr>
        <w:tc>
          <w:tcPr>
            <w:tcBorders>
              <w:top w:val="single" w:color="E2E8F0" w:sz="4"/>
              <w:left w:val="single" w:color="E2E8F0" w:sz="4"/>
              <w:bottom w:val="single" w:color="E2E8F0" w:sz="4"/>
              <w:right w:val="single" w:color="E2E8F0" w:sz="4"/>
            </w:tcBorders>
            <w:shd w:fill="1A6B4A" w:val="clear"/>
            <w:tcMar>
              <w:top w:type="dxa" w:w="90"/>
              <w:left w:type="dxa" w:w="120"/>
              <w:bottom w:type="dxa" w:w="90"/>
              <w:right w:type="dxa" w:w="120"/>
            </w:tcMar>
          </w:tcPr>
          <w:p>
            <w:r>
              <w:rPr>
                <w:rFonts w:ascii="Calibri" w:cs="Calibri" w:eastAsia="Calibri" w:hAnsi="Calibri"/>
                <w:b/>
                <w:bCs/>
                <w:color w:val="FFFFFF"/>
                <w:sz w:val="18"/>
                <w:szCs w:val="18"/>
              </w:rPr>
              <w:t xml:space="preserve">#</w:t>
            </w:r>
          </w:p>
        </w:tc>
        <w:tc>
          <w:tcPr>
            <w:tcBorders>
              <w:top w:val="single" w:color="E2E8F0" w:sz="4"/>
              <w:left w:val="single" w:color="E2E8F0" w:sz="4"/>
              <w:bottom w:val="single" w:color="E2E8F0" w:sz="4"/>
              <w:right w:val="single" w:color="E2E8F0" w:sz="4"/>
            </w:tcBorders>
            <w:shd w:fill="1A6B4A" w:val="clear"/>
            <w:tcMar>
              <w:top w:type="dxa" w:w="90"/>
              <w:left w:type="dxa" w:w="120"/>
              <w:bottom w:type="dxa" w:w="90"/>
              <w:right w:type="dxa" w:w="120"/>
            </w:tcMar>
          </w:tcPr>
          <w:p>
            <w:r>
              <w:rPr>
                <w:rFonts w:ascii="Calibri" w:cs="Calibri" w:eastAsia="Calibri" w:hAnsi="Calibri"/>
                <w:b/>
                <w:bCs/>
                <w:color w:val="FFFFFF"/>
                <w:sz w:val="18"/>
                <w:szCs w:val="18"/>
              </w:rPr>
              <w:t xml:space="preserve">Action</w:t>
            </w:r>
          </w:p>
        </w:tc>
        <w:tc>
          <w:tcPr>
            <w:tcBorders>
              <w:top w:val="single" w:color="E2E8F0" w:sz="4"/>
              <w:left w:val="single" w:color="E2E8F0" w:sz="4"/>
              <w:bottom w:val="single" w:color="E2E8F0" w:sz="4"/>
              <w:right w:val="single" w:color="E2E8F0" w:sz="4"/>
            </w:tcBorders>
            <w:shd w:fill="1A6B4A" w:val="clear"/>
            <w:tcMar>
              <w:top w:type="dxa" w:w="90"/>
              <w:left w:type="dxa" w:w="120"/>
              <w:bottom w:type="dxa" w:w="90"/>
              <w:right w:type="dxa" w:w="120"/>
            </w:tcMar>
          </w:tcPr>
          <w:p>
            <w:r>
              <w:rPr>
                <w:rFonts w:ascii="Calibri" w:cs="Calibri" w:eastAsia="Calibri" w:hAnsi="Calibri"/>
                <w:b/>
                <w:bCs/>
                <w:color w:val="FFFFFF"/>
                <w:sz w:val="18"/>
                <w:szCs w:val="18"/>
              </w:rPr>
              <w:t xml:space="preserve">Owner</w:t>
            </w:r>
          </w:p>
        </w:tc>
        <w:tc>
          <w:tcPr>
            <w:tcBorders>
              <w:top w:val="single" w:color="E2E8F0" w:sz="4"/>
              <w:left w:val="single" w:color="E2E8F0" w:sz="4"/>
              <w:bottom w:val="single" w:color="E2E8F0" w:sz="4"/>
              <w:right w:val="single" w:color="E2E8F0" w:sz="4"/>
            </w:tcBorders>
            <w:shd w:fill="1A6B4A" w:val="clear"/>
            <w:tcMar>
              <w:top w:type="dxa" w:w="90"/>
              <w:left w:type="dxa" w:w="120"/>
              <w:bottom w:type="dxa" w:w="90"/>
              <w:right w:type="dxa" w:w="120"/>
            </w:tcMar>
          </w:tcPr>
          <w:p>
            <w:r>
              <w:rPr>
                <w:rFonts w:ascii="Calibri" w:cs="Calibri" w:eastAsia="Calibri" w:hAnsi="Calibri"/>
                <w:b/>
                <w:bCs/>
                <w:color w:val="FFFFFF"/>
                <w:sz w:val="18"/>
                <w:szCs w:val="18"/>
              </w:rPr>
              <w:t xml:space="preserve">Timeline</w:t>
            </w:r>
          </w:p>
        </w:tc>
      </w:tr>
      <w:tr>
        <w:tc>
          <w:tcPr>
            <w:tcBorders>
              <w:top w:val="single" w:color="E2E8F0" w:sz="4"/>
              <w:left w:val="single" w:color="E2E8F0" w:sz="4"/>
              <w:bottom w:val="single" w:color="E2E8F0" w:sz="4"/>
              <w:right w:val="single" w:color="E2E8F0" w:sz="4"/>
            </w:tcBorders>
            <w:shd w:fill="FDF2F2" w:val="clear"/>
            <w:tcMar>
              <w:top w:type="dxa" w:w="90"/>
              <w:left w:type="dxa" w:w="120"/>
              <w:bottom w:type="dxa" w:w="90"/>
              <w:right w:type="dxa" w:w="120"/>
            </w:tcMar>
            <w:vAlign w:val="center"/>
          </w:tcPr>
          <w:p>
            <w:pPr>
              <w:jc w:val="left"/>
            </w:pPr>
            <w:r>
              <w:rPr>
                <w:rFonts w:ascii="Calibri" w:cs="Calibri" w:eastAsia="Calibri" w:hAnsi="Calibri"/>
                <w:b w:val="false"/>
                <w:bCs w:val="false"/>
                <w:color w:val="0F1419"/>
                <w:sz w:val="18"/>
                <w:szCs w:val="18"/>
              </w:rPr>
              <w:t xml:space="preserve">1</w:t>
            </w:r>
          </w:p>
        </w:tc>
        <w:tc>
          <w:tcPr>
            <w:tcBorders>
              <w:top w:val="single" w:color="E2E8F0" w:sz="4"/>
              <w:left w:val="single" w:color="E2E8F0" w:sz="4"/>
              <w:bottom w:val="single" w:color="E2E8F0" w:sz="4"/>
              <w:right w:val="single" w:color="E2E8F0" w:sz="4"/>
            </w:tcBorders>
            <w:shd w:fill="FDF2F2" w:val="clear"/>
            <w:tcMar>
              <w:top w:type="dxa" w:w="90"/>
              <w:left w:type="dxa" w:w="120"/>
              <w:bottom w:type="dxa" w:w="90"/>
              <w:right w:type="dxa" w:w="120"/>
            </w:tcMar>
            <w:vAlign w:val="center"/>
          </w:tcPr>
          <w:p>
            <w:pPr>
              <w:jc w:val="left"/>
            </w:pPr>
            <w:r>
              <w:rPr>
                <w:rFonts w:ascii="Calibri" w:cs="Calibri" w:eastAsia="Calibri" w:hAnsi="Calibri"/>
                <w:b w:val="false"/>
                <w:bCs w:val="false"/>
                <w:color w:val="0F1419"/>
                <w:sz w:val="18"/>
                <w:szCs w:val="18"/>
              </w:rPr>
              <w:t xml:space="preserve">Technology cost governance review — cloud architecture optimisation</w:t>
            </w:r>
          </w:p>
        </w:tc>
        <w:tc>
          <w:tcPr>
            <w:tcBorders>
              <w:top w:val="single" w:color="E2E8F0" w:sz="4"/>
              <w:left w:val="single" w:color="E2E8F0" w:sz="4"/>
              <w:bottom w:val="single" w:color="E2E8F0" w:sz="4"/>
              <w:right w:val="single" w:color="E2E8F0" w:sz="4"/>
            </w:tcBorders>
            <w:shd w:fill="FDF2F2" w:val="clear"/>
            <w:tcMar>
              <w:top w:type="dxa" w:w="90"/>
              <w:left w:type="dxa" w:w="120"/>
              <w:bottom w:type="dxa" w:w="90"/>
              <w:right w:type="dxa" w:w="120"/>
            </w:tcMar>
            <w:vAlign w:val="center"/>
          </w:tcPr>
          <w:p>
            <w:pPr>
              <w:jc w:val="left"/>
            </w:pPr>
            <w:r>
              <w:rPr>
                <w:rFonts w:ascii="Calibri" w:cs="Calibri" w:eastAsia="Calibri" w:hAnsi="Calibri"/>
                <w:b w:val="false"/>
                <w:bCs w:val="false"/>
                <w:color w:val="0F1419"/>
                <w:sz w:val="18"/>
                <w:szCs w:val="18"/>
              </w:rPr>
              <w:t xml:space="preserve">CTO + CFO</w:t>
            </w:r>
          </w:p>
        </w:tc>
        <w:tc>
          <w:tcPr>
            <w:tcBorders>
              <w:top w:val="single" w:color="E2E8F0" w:sz="4"/>
              <w:left w:val="single" w:color="E2E8F0" w:sz="4"/>
              <w:bottom w:val="single" w:color="E2E8F0" w:sz="4"/>
              <w:right w:val="single" w:color="E2E8F0" w:sz="4"/>
            </w:tcBorders>
            <w:shd w:fill="FDF2F2" w:val="clear"/>
            <w:tcMar>
              <w:top w:type="dxa" w:w="90"/>
              <w:left w:type="dxa" w:w="120"/>
              <w:bottom w:type="dxa" w:w="90"/>
              <w:right w:type="dxa" w:w="120"/>
            </w:tcMar>
            <w:vAlign w:val="center"/>
          </w:tcPr>
          <w:p>
            <w:pPr>
              <w:jc w:val="left"/>
            </w:pPr>
            <w:r>
              <w:rPr>
                <w:rFonts w:ascii="Calibri" w:cs="Calibri" w:eastAsia="Calibri" w:hAnsi="Calibri"/>
                <w:b w:val="false"/>
                <w:bCs w:val="false"/>
                <w:color w:val="0F1419"/>
                <w:sz w:val="18"/>
                <w:szCs w:val="18"/>
              </w:rPr>
              <w:t xml:space="preserve">Complete by end Q1 2025</w:t>
            </w:r>
          </w:p>
        </w:tc>
      </w:tr>
      <w:tr>
        <w:tc>
          <w:tcPr>
            <w:tcBorders>
              <w:top w:val="single" w:color="E2E8F0" w:sz="4"/>
              <w:left w:val="single" w:color="E2E8F0" w:sz="4"/>
              <w:bottom w:val="single" w:color="E2E8F0" w:sz="4"/>
              <w:right w:val="single" w:color="E2E8F0" w:sz="4"/>
            </w:tcBorders>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0F1419"/>
                <w:sz w:val="18"/>
                <w:szCs w:val="18"/>
              </w:rPr>
              <w:t xml:space="preserve">2</w:t>
            </w:r>
          </w:p>
        </w:tc>
        <w:tc>
          <w:tcPr>
            <w:tcBorders>
              <w:top w:val="single" w:color="E2E8F0" w:sz="4"/>
              <w:left w:val="single" w:color="E2E8F0" w:sz="4"/>
              <w:bottom w:val="single" w:color="E2E8F0" w:sz="4"/>
              <w:right w:val="single" w:color="E2E8F0" w:sz="4"/>
            </w:tcBorders>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0F1419"/>
                <w:sz w:val="18"/>
                <w:szCs w:val="18"/>
              </w:rPr>
              <w:t xml:space="preserve">Business Lending recovery plan — credit criteria and repricing strategy</w:t>
            </w:r>
          </w:p>
        </w:tc>
        <w:tc>
          <w:tcPr>
            <w:tcBorders>
              <w:top w:val="single" w:color="E2E8F0" w:sz="4"/>
              <w:left w:val="single" w:color="E2E8F0" w:sz="4"/>
              <w:bottom w:val="single" w:color="E2E8F0" w:sz="4"/>
              <w:right w:val="single" w:color="E2E8F0" w:sz="4"/>
            </w:tcBorders>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0F1419"/>
                <w:sz w:val="18"/>
                <w:szCs w:val="18"/>
              </w:rPr>
              <w:t xml:space="preserve">Head of Lending + Risk</w:t>
            </w:r>
          </w:p>
        </w:tc>
        <w:tc>
          <w:tcPr>
            <w:tcBorders>
              <w:top w:val="single" w:color="E2E8F0" w:sz="4"/>
              <w:left w:val="single" w:color="E2E8F0" w:sz="4"/>
              <w:bottom w:val="single" w:color="E2E8F0" w:sz="4"/>
              <w:right w:val="single" w:color="E2E8F0" w:sz="4"/>
            </w:tcBorders>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0F1419"/>
                <w:sz w:val="18"/>
                <w:szCs w:val="18"/>
              </w:rPr>
              <w:t xml:space="preserve">Plan submitted by 31 Jan 2025</w:t>
            </w:r>
          </w:p>
        </w:tc>
      </w:tr>
      <w:tr>
        <w:tc>
          <w:tcPr>
            <w:tcBorders>
              <w:top w:val="single" w:color="E2E8F0" w:sz="4"/>
              <w:left w:val="single" w:color="E2E8F0" w:sz="4"/>
              <w:bottom w:val="single" w:color="E2E8F0" w:sz="4"/>
              <w:right w:val="single" w:color="E2E8F0" w:sz="4"/>
            </w:tcBorders>
            <w:shd w:fill="F0F4F8" w:val="clear"/>
            <w:tcMar>
              <w:top w:type="dxa" w:w="90"/>
              <w:left w:type="dxa" w:w="120"/>
              <w:bottom w:type="dxa" w:w="90"/>
              <w:right w:type="dxa" w:w="120"/>
            </w:tcMar>
            <w:vAlign w:val="center"/>
          </w:tcPr>
          <w:p>
            <w:pPr>
              <w:jc w:val="left"/>
            </w:pPr>
            <w:r>
              <w:rPr>
                <w:rFonts w:ascii="Calibri" w:cs="Calibri" w:eastAsia="Calibri" w:hAnsi="Calibri"/>
                <w:b w:val="false"/>
                <w:bCs w:val="false"/>
                <w:color w:val="0F1419"/>
                <w:sz w:val="18"/>
                <w:szCs w:val="18"/>
              </w:rPr>
              <w:t xml:space="preserve">3</w:t>
            </w:r>
          </w:p>
        </w:tc>
        <w:tc>
          <w:tcPr>
            <w:tcBorders>
              <w:top w:val="single" w:color="E2E8F0" w:sz="4"/>
              <w:left w:val="single" w:color="E2E8F0" w:sz="4"/>
              <w:bottom w:val="single" w:color="E2E8F0" w:sz="4"/>
              <w:right w:val="single" w:color="E2E8F0" w:sz="4"/>
            </w:tcBorders>
            <w:shd w:fill="F0F4F8" w:val="clear"/>
            <w:tcMar>
              <w:top w:type="dxa" w:w="90"/>
              <w:left w:type="dxa" w:w="120"/>
              <w:bottom w:type="dxa" w:w="90"/>
              <w:right w:type="dxa" w:w="120"/>
            </w:tcMar>
            <w:vAlign w:val="center"/>
          </w:tcPr>
          <w:p>
            <w:pPr>
              <w:jc w:val="left"/>
            </w:pPr>
            <w:r>
              <w:rPr>
                <w:rFonts w:ascii="Calibri" w:cs="Calibri" w:eastAsia="Calibri" w:hAnsi="Calibri"/>
                <w:b w:val="false"/>
                <w:bCs w:val="false"/>
                <w:color w:val="0F1419"/>
                <w:sz w:val="18"/>
                <w:szCs w:val="18"/>
              </w:rPr>
              <w:t xml:space="preserve">FY2025 budget — incorporate Digital Payments growth and compliance uplift</w:t>
            </w:r>
          </w:p>
        </w:tc>
        <w:tc>
          <w:tcPr>
            <w:tcBorders>
              <w:top w:val="single" w:color="E2E8F0" w:sz="4"/>
              <w:left w:val="single" w:color="E2E8F0" w:sz="4"/>
              <w:bottom w:val="single" w:color="E2E8F0" w:sz="4"/>
              <w:right w:val="single" w:color="E2E8F0" w:sz="4"/>
            </w:tcBorders>
            <w:shd w:fill="F0F4F8" w:val="clear"/>
            <w:tcMar>
              <w:top w:type="dxa" w:w="90"/>
              <w:left w:type="dxa" w:w="120"/>
              <w:bottom w:type="dxa" w:w="90"/>
              <w:right w:type="dxa" w:w="120"/>
            </w:tcMar>
            <w:vAlign w:val="center"/>
          </w:tcPr>
          <w:p>
            <w:pPr>
              <w:jc w:val="left"/>
            </w:pPr>
            <w:r>
              <w:rPr>
                <w:rFonts w:ascii="Calibri" w:cs="Calibri" w:eastAsia="Calibri" w:hAnsi="Calibri"/>
                <w:b w:val="false"/>
                <w:bCs w:val="false"/>
                <w:color w:val="0F1419"/>
                <w:sz w:val="18"/>
                <w:szCs w:val="18"/>
              </w:rPr>
              <w:t xml:space="preserve">Finance team</w:t>
            </w:r>
          </w:p>
        </w:tc>
        <w:tc>
          <w:tcPr>
            <w:tcBorders>
              <w:top w:val="single" w:color="E2E8F0" w:sz="4"/>
              <w:left w:val="single" w:color="E2E8F0" w:sz="4"/>
              <w:bottom w:val="single" w:color="E2E8F0" w:sz="4"/>
              <w:right w:val="single" w:color="E2E8F0" w:sz="4"/>
            </w:tcBorders>
            <w:shd w:fill="F0F4F8" w:val="clear"/>
            <w:tcMar>
              <w:top w:type="dxa" w:w="90"/>
              <w:left w:type="dxa" w:w="120"/>
              <w:bottom w:type="dxa" w:w="90"/>
              <w:right w:type="dxa" w:w="120"/>
            </w:tcMar>
            <w:vAlign w:val="center"/>
          </w:tcPr>
          <w:p>
            <w:pPr>
              <w:jc w:val="left"/>
            </w:pPr>
            <w:r>
              <w:rPr>
                <w:rFonts w:ascii="Calibri" w:cs="Calibri" w:eastAsia="Calibri" w:hAnsi="Calibri"/>
                <w:b w:val="false"/>
                <w:bCs w:val="false"/>
                <w:color w:val="0F1419"/>
                <w:sz w:val="18"/>
                <w:szCs w:val="18"/>
              </w:rPr>
              <w:t xml:space="preserve">Budget finalised by 15 Feb 2025</w:t>
            </w:r>
          </w:p>
        </w:tc>
      </w:tr>
      <w:tr>
        <w:tc>
          <w:tcPr>
            <w:tcBorders>
              <w:top w:val="single" w:color="E2E8F0" w:sz="4"/>
              <w:left w:val="single" w:color="E2E8F0" w:sz="4"/>
              <w:bottom w:val="single" w:color="E2E8F0" w:sz="4"/>
              <w:right w:val="single" w:color="E2E8F0" w:sz="4"/>
            </w:tcBorders>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0F1419"/>
                <w:sz w:val="18"/>
                <w:szCs w:val="18"/>
              </w:rPr>
              <w:t xml:space="preserve">4</w:t>
            </w:r>
          </w:p>
        </w:tc>
        <w:tc>
          <w:tcPr>
            <w:tcBorders>
              <w:top w:val="single" w:color="E2E8F0" w:sz="4"/>
              <w:left w:val="single" w:color="E2E8F0" w:sz="4"/>
              <w:bottom w:val="single" w:color="E2E8F0" w:sz="4"/>
              <w:right w:val="single" w:color="E2E8F0" w:sz="4"/>
            </w:tcBorders>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0F1419"/>
                <w:sz w:val="18"/>
                <w:szCs w:val="18"/>
              </w:rPr>
              <w:t xml:space="preserve">Marketing spend governance — pre-approval required for any unbudgeted spend &gt; A$100k</w:t>
            </w:r>
          </w:p>
        </w:tc>
        <w:tc>
          <w:tcPr>
            <w:tcBorders>
              <w:top w:val="single" w:color="E2E8F0" w:sz="4"/>
              <w:left w:val="single" w:color="E2E8F0" w:sz="4"/>
              <w:bottom w:val="single" w:color="E2E8F0" w:sz="4"/>
              <w:right w:val="single" w:color="E2E8F0" w:sz="4"/>
            </w:tcBorders>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0F1419"/>
                <w:sz w:val="18"/>
                <w:szCs w:val="18"/>
              </w:rPr>
              <w:t xml:space="preserve">CMO + CFO</w:t>
            </w:r>
          </w:p>
        </w:tc>
        <w:tc>
          <w:tcPr>
            <w:tcBorders>
              <w:top w:val="single" w:color="E2E8F0" w:sz="4"/>
              <w:left w:val="single" w:color="E2E8F0" w:sz="4"/>
              <w:bottom w:val="single" w:color="E2E8F0" w:sz="4"/>
              <w:right w:val="single" w:color="E2E8F0" w:sz="4"/>
            </w:tcBorders>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0F1419"/>
                <w:sz w:val="18"/>
                <w:szCs w:val="18"/>
              </w:rPr>
              <w:t xml:space="preserve">Policy effective 1 Jan 2025</w:t>
            </w:r>
          </w:p>
        </w:tc>
      </w:tr>
    </w:tbl>
    <w:p>
      <w:pPr>
        <w:spacing w:before="120" w:after="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Borders>
              <w:top w:val="single" w:color="E2E8F0" w:sz="4"/>
              <w:left w:val="none" w:color="FFFFFF" w:sz="0"/>
              <w:bottom w:val="none" w:color="FFFFFF" w:sz="0"/>
              <w:right w:val="none" w:color="FFFFFF" w:sz="0"/>
            </w:tcBorders>
            <w:shd w:fill="F0F4F8" w:val="clear"/>
            <w:tcMar>
              <w:top w:type="dxa" w:w="120"/>
              <w:left w:type="dxa" w:w="160"/>
              <w:bottom w:type="dxa" w:w="120"/>
              <w:right w:type="dxa" w:w="160"/>
            </w:tcMar>
          </w:tcPr>
          <w:p>
            <w:pPr>
              <w:jc w:val="center"/>
            </w:pPr>
            <w:r>
              <w:rPr>
                <w:rFonts w:ascii="Calibri" w:cs="Calibri" w:eastAsia="Calibri" w:hAnsi="Calibri"/>
                <w:color w:val="6B7A8D"/>
                <w:sz w:val="16"/>
                <w:szCs w:val="16"/>
              </w:rPr>
              <w:t xml:space="preserve">Prepared by Suyash Thakuri  ·  Financial Data Analyst  ·  suyashthakuri@gmail.com  ·  github.com/Suyashthakuri</w:t>
            </w:r>
          </w:p>
          <w:p>
            <w:pPr>
              <w:jc w:val="center"/>
            </w:pPr>
            <w:r>
              <w:rPr>
                <w:rFonts w:ascii="Calibri" w:cs="Calibri" w:eastAsia="Calibri" w:hAnsi="Calibri"/>
                <w:i/>
                <w:iCs/>
                <w:color w:val="6B7A8D"/>
                <w:sz w:val="15"/>
                <w:szCs w:val="15"/>
              </w:rPr>
              <w:t xml:space="preserve">All data is synthetic and generated for portfolio demonstration purposes. No real company data was used.</w:t>
            </w:r>
          </w:p>
        </w:tc>
      </w:tr>
    </w:tbl>
    <w:sectPr>
      <w:pgSz w:w="11906" w:h="16838"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before="40" w:after="40"/>
        <w:ind w:left="480" w:hanging="240"/>
      </w:pPr>
      <w:rPr>
        <w:rFonts w:ascii="Calibri" w:cs="Calibri" w:eastAsia="Calibri" w:hAnsi="Calibri"/>
        <w:color w:val="1A6B4A"/>
        <w:sz w:val="19"/>
        <w:szCs w:val="19"/>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2026-03-29T06:19:32.453Z</dcterms:created>
  <dcterms:modified xsi:type="dcterms:W3CDTF">2026-03-29T06:19:32.453Z</dcterms:modified>
</cp:coreProperties>
</file>

<file path=docProps/custom.xml><?xml version="1.0" encoding="utf-8"?>
<Properties xmlns="http://schemas.openxmlformats.org/officeDocument/2006/custom-properties" xmlns:vt="http://schemas.openxmlformats.org/officeDocument/2006/docPropsVTypes"/>
</file>