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5F"/>
          <w:sz w:val="20"/>
          <w:szCs w:val="20"/>
        </w:rPr>
        <w:t xml:space="preserve">ASSOCIATION GÉNIE — TIERS-LIEU</w:t>
      </w:r>
    </w:p>
    <w:p>
      <w:pPr>
        <w:spacing w:after="300"/>
        <w:jc w:val="center"/>
      </w:pPr>
      <w:r>
        <w:rPr>
          <w:rFonts w:ascii="Arial" w:cs="Arial" w:eastAsia="Arial" w:hAnsi="Arial"/>
          <w:b/>
          <w:bCs/>
          <w:sz w:val="30"/>
          <w:szCs w:val="30"/>
        </w:rPr>
        <w:t xml:space="preserve">Note de synthèse — Conseil des locataires du 25 juin 2026</w:t>
      </w:r>
    </w:p>
    <w:p>
      <w:pPr>
        <w:pStyle w:val="Heading2"/>
      </w:pPr>
      <w:r>
        <w:rPr>
          <w:rFonts w:ascii="Arial" w:cs="Arial" w:eastAsia="Arial" w:hAnsi="Arial"/>
        </w:rPr>
        <w:t xml:space="preserve">Objet</w:t>
      </w:r>
    </w:p>
    <w:p>
      <w:pPr>
        <w:spacing w:after="120"/>
      </w:pPr>
      <w:r>
        <w:rPr>
          <w:rFonts w:ascii="Arial" w:cs="Arial" w:eastAsia="Arial" w:hAnsi="Arial"/>
          <w:sz w:val="21"/>
          <w:szCs w:val="21"/>
        </w:rPr>
        <w:t xml:space="preserve">Cette note accompagne la réunion du Conseil des locataires de ce soir. Elle synthétise l'analyse de l'ensemble des documents du dossier de réunion (statuts, règlement intérieur, charte, grille tarifaire, contrats, CGV, budget, CRM), liste les corrections déjà apportées aux documents internes, et identifie les points qui doivent être tranchés ce soir ou rapidement après par le Conseil d'Administration.</w:t>
      </w:r>
    </w:p>
    <w:p>
      <w:pPr>
        <w:pStyle w:val="Heading2"/>
      </w:pPr>
      <w:r>
        <w:rPr>
          <w:rFonts w:ascii="Arial" w:cs="Arial" w:eastAsia="Arial" w:hAnsi="Arial"/>
        </w:rPr>
        <w:t xml:space="preserve">1. Corrections déjà effectuées (documents internes)</w:t>
      </w:r>
    </w:p>
    <w:p>
      <w:pPr>
        <w:spacing w:after="120"/>
      </w:pPr>
      <w:r>
        <w:rPr>
          <w:rFonts w:ascii="Arial" w:cs="Arial" w:eastAsia="Arial" w:hAnsi="Arial"/>
          <w:sz w:val="21"/>
          <w:szCs w:val="21"/>
        </w:rPr>
        <w:t xml:space="preserve">Les écarts suivants ont été corrigés directement dans les fichiers, car ils relèvent de coquilles ou d'incohérences manifestes sans enjeu de décision politique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Document</w:t>
            </w:r>
          </w:p>
        </w:tc>
        <w:tc>
          <w:tcPr>
            <w:tcW w:type="dxa" w:w="348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Problème détecté</w:t>
            </w:r>
          </w:p>
        </w:tc>
        <w:tc>
          <w:tcPr>
            <w:tcW w:type="dxa" w:w="348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Correction appliquée</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Règlement intérieur (art. 1.1)</w:t>
            </w:r>
          </w:p>
        </w:tc>
        <w:tc>
          <w:tcPr>
            <w:tcW w:type="dxa" w:w="348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Tarif badge 24h/7j affiché à 25 €/mois, alors que la grille tarifaire, le contrat bureau privatif et le contrat coworking indiquent tous 5 €/mois.</w:t>
            </w:r>
          </w:p>
        </w:tc>
        <w:tc>
          <w:tcPr>
            <w:tcW w:type="dxa" w:w="348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Harmonisé à 5 €/mois, conforme à la grille et aux contrats.</w:t>
            </w:r>
          </w:p>
        </w:tc>
      </w:tr>
      <w:tr>
        <w:tc>
          <w:tcPr>
            <w:tcW w:type="dxa" w:w="24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Bon de réservation salle</w:t>
            </w:r>
          </w:p>
        </w:tc>
        <w:tc>
          <w:tcPr>
            <w:tcW w:type="dxa" w:w="348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Règle d'annulation « -24 jours : acompte non remboursé » (coquille).</w:t>
            </w:r>
          </w:p>
        </w:tc>
        <w:tc>
          <w:tcPr>
            <w:tcW w:type="dxa" w:w="348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Corrigé en « -24h : acompte non remboursé », cohérent avec le règlement intérieur et les CGV.</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Budget Master (onglet Compte de résultat)</w:t>
            </w:r>
          </w:p>
        </w:tc>
        <w:tc>
          <w:tcPr>
            <w:tcW w:type="dxa" w:w="348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Erreur de calcul en cascade : la ligne « Total charges » se sommait elle-même (référence circulaire) et incluait par erreur la ligne « Résultat net ». Tout le tableau de bord (Scénarios, Trésorerie) affichait des erreurs #VALUE!/#NAME?.</w:t>
            </w:r>
          </w:p>
        </w:tc>
        <w:tc>
          <w:tcPr>
            <w:tcW w:type="dxa" w:w="348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Formules corrigées. Le fichier est désormais entièrement calculable, sans aucune erreur résiduelle.</w:t>
            </w:r>
          </w:p>
        </w:tc>
      </w:tr>
      <w:tr>
        <w:tc>
          <w:tcPr>
            <w:tcW w:type="dxa" w:w="24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Archives</w:t>
            </w:r>
          </w:p>
        </w:tc>
        <w:tc>
          <w:tcPr>
            <w:tcW w:type="dxa" w:w="348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L'audit de janvier 2026 (90 fichiers) et l'ancienne fiche « Savoir-vivre » (1 page) restaient dans les dossiers actifs alors qu'ils sont obsolètes et remplacés.</w:t>
            </w:r>
          </w:p>
        </w:tc>
        <w:tc>
          <w:tcPr>
            <w:tcW w:type="dxa" w:w="348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Déplacés dans un dossier 06_Archives avec une note explicative, pour éviter toute confusion en réunion.</w:t>
            </w:r>
          </w:p>
        </w:tc>
      </w:tr>
    </w:tbl>
    <w:p>
      <w:pPr>
        <w:pStyle w:val="Heading2"/>
      </w:pPr>
      <w:r>
        <w:rPr>
          <w:rFonts w:ascii="Arial" w:cs="Arial" w:eastAsia="Arial" w:hAnsi="Arial"/>
        </w:rPr>
        <w:t xml:space="preserve">2. Alerte prioritaire : trésorerie de fin d'année</w:t>
      </w:r>
    </w:p>
    <w:p>
      <w:pPr>
        <w:spacing w:after="120"/>
      </w:pPr>
      <w:r>
        <w:rPr>
          <w:rFonts w:ascii="Arial" w:cs="Arial" w:eastAsia="Arial" w:hAnsi="Arial"/>
          <w:b/>
          <w:bCs/>
          <w:color w:val="B00020"/>
          <w:sz w:val="21"/>
          <w:szCs w:val="21"/>
        </w:rPr>
        <w:t xml:space="preserve">Une fois les formules corrigées, le Budget Master calcule un solde de trésorerie cumulé négatif d'environ -4 955 € à fin décembre 2026, principalement du fait du palier de loyer IMMO BEAUSOLEIL (250 €/mois jusqu'en juin, puis 1 950 €/mois à partir de juillet). Ce point mérite d'être signalé sans attendre, indépendamment de l'ordre du jour de ce soir (budget et financement étant renvoyés à une réunion dédiée association selon l'ordre du jour v2).</w:t>
      </w:r>
    </w:p>
    <w:p>
      <w:pPr>
        <w:pStyle w:val="Heading2"/>
      </w:pPr>
      <w:r>
        <w:rPr>
          <w:rFonts w:ascii="Arial" w:cs="Arial" w:eastAsia="Arial" w:hAnsi="Arial"/>
        </w:rPr>
        <w:t xml:space="preserve">3. Points à trancher ce soir ou rapidement (CA)</w:t>
      </w:r>
    </w:p>
    <w:p>
      <w:pPr>
        <w:spacing w:after="120"/>
      </w:pPr>
      <w:r>
        <w:rPr>
          <w:rFonts w:ascii="Arial" w:cs="Arial" w:eastAsia="Arial" w:hAnsi="Arial"/>
          <w:sz w:val="21"/>
          <w:szCs w:val="21"/>
        </w:rPr>
        <w:t xml:space="preserve">Ces écarts touchent à des décisions de gouvernance ou de tarification et doivent être validés collectivement plutôt que corrigés unilatéralement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13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Sujet</w:t>
            </w:r>
          </w:p>
        </w:tc>
        <w:tc>
          <w:tcPr>
            <w:tcW w:type="dxa" w:w="290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Écart constaté</w:t>
            </w:r>
          </w:p>
        </w:tc>
        <w:tc>
          <w:tcPr>
            <w:tcW w:type="dxa" w:w="290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Recommandation</w:t>
            </w:r>
          </w:p>
        </w:tc>
        <w:tc>
          <w:tcPr>
            <w:tcW w:type="dxa" w:w="1360"/>
            <w:tcBorders>
              <w:top w:val="single" w:color="CCCCCC" w:sz="1"/>
              <w:left w:val="single" w:color="CCCCCC" w:sz="1"/>
              <w:bottom w:val="single" w:color="CCCCCC" w:sz="1"/>
              <w:right w:val="single" w:color="CCCCCC" w:sz="1"/>
            </w:tcBorders>
            <w:shd w:fill="1F4E5F" w:val="clear"/>
            <w:tcMar>
              <w:top w:type="dxa" w:w="80"/>
              <w:left w:type="dxa" w:w="100"/>
              <w:bottom w:type="dxa" w:w="80"/>
              <w:right w:type="dxa" w:w="100"/>
            </w:tcMar>
          </w:tcPr>
          <w:p>
            <w:pPr>
              <w:jc w:val="left"/>
            </w:pPr>
            <w:r>
              <w:rPr>
                <w:rFonts w:ascii="Arial" w:cs="Arial" w:eastAsia="Arial" w:hAnsi="Arial"/>
                <w:b/>
                <w:bCs/>
                <w:color w:val="FFFFFF"/>
                <w:sz w:val="18"/>
                <w:szCs w:val="18"/>
              </w:rPr>
              <w:t xml:space="preserve">Qui / Quand</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Doublon chartes de savoir-vivre</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Le PDF « Savoir-vivre » (1 page) et la Charte v2 (25/06/2026, 9 sections) coexistaient. La Charte v2 est explicitement prévue « à adopter ce soir ».</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Faire adopter formellement la Charte v2 en séance ; l'ancien PDF est déjà archivé.</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Ce soir</w:t>
            </w:r>
          </w:p>
        </w:tc>
      </w:tr>
      <w:tr>
        <w:tc>
          <w:tcPr>
            <w:tcW w:type="dxa" w:w="22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Liste des locataires actuels</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3 sources discordantes : le site (index) cite 4 locataires (Antre-Connaissance, FNE, Nadine Daugé, Ovni-Graphics) ; le budget cite Ovni-Graphics (signé), Antre-Connaissance (en cours), FNE (convention partenariat) et Mobicoop (convention juillet) ; Nadine Daugé n'apparaît dans aucun tableau financier.</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Valider en séance une liste unique et à jour des occupants signés / en cours, et la reporter dans le budget et le CRM.</w:t>
            </w:r>
          </w:p>
        </w:tc>
        <w:tc>
          <w:tcPr>
            <w:tcW w:type="dxa" w:w="136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Ce soir / 48h</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Remise tarifaire Ovni-Graphics</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Loyer facturé à 13 €/m² (bail 1 an) alors que la grille officielle de mai 2026 fixe ce tarif à 17 €/m². Écart de 24 %, non couvert par les remises ESUS prévues aux CGV (10-15 %).</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Faire valider par le CA l'origine et le maintien de cette remise, ou la régulariser sur la base de la grille en vigueur.</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Prochaine réunion CA</w:t>
            </w:r>
          </w:p>
        </w:tc>
      </w:tr>
      <w:tr>
        <w:tc>
          <w:tcPr>
            <w:tcW w:type="dxa" w:w="22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Avance de trésorerie CCFA</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Le budget comptabilise une avance CCFA de 8 000 € (plafond annoncé 10 000 €), alors que la convention d'occupation CCFA ne prévoit aucune avance — seulement la gratuité du loyer jusqu'à transformation en sous-location.</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Formaliser cette avance par un avenant écrit à la convention CCFA, comme le budget lui-même le signale (« convention à formaliser »).</w:t>
            </w:r>
          </w:p>
        </w:tc>
        <w:tc>
          <w:tcPr>
            <w:tcW w:type="dxa" w:w="136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Avant fin juillet</w:t>
            </w:r>
          </w:p>
        </w:tc>
      </w:tr>
      <w:tr>
        <w:tc>
          <w:tcPr>
            <w:tcW w:type="dxa" w:w="2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Transformation de la convention CCFA en sous-location payante</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La convention prévoit une transformation au plus tard 12 mois après le 01/02/2026 (soit février 2027) ou dès 1 000 €/mois de revenus de sous-location pendant 3 mois consécutifs. Le budget anticipe déjà un loyer de 1 950 €/mois dès juillet 2026, soit avant ces échéances contractuelles.</w:t>
            </w:r>
          </w:p>
        </w:tc>
        <w:tc>
          <w:tcPr>
            <w:tcW w:type="dxa" w:w="29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Vérifier si un avenant a déjà été signé hors de ce dossier ; sinon, le formaliser avant d'imputer ce loyer au budget.</w:t>
            </w:r>
          </w:p>
        </w:tc>
        <w:tc>
          <w:tcPr>
            <w:tcW w:type="dxa" w:w="13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left"/>
            </w:pPr>
            <w:r>
              <w:rPr>
                <w:rFonts w:ascii="Arial" w:cs="Arial" w:eastAsia="Arial" w:hAnsi="Arial"/>
                <w:b w:val="false"/>
                <w:bCs w:val="false"/>
                <w:sz w:val="18"/>
                <w:szCs w:val="18"/>
              </w:rPr>
              <w:t xml:space="preserve">Avant juillet 2026</w:t>
            </w:r>
          </w:p>
        </w:tc>
      </w:tr>
      <w:tr>
        <w:tc>
          <w:tcPr>
            <w:tcW w:type="dxa" w:w="22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Remises tarifaires ESUS</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Les CGV prévoient -10 % (structures ESS), -15 % (structures d'insertion), -10 % (créateurs &lt;12 mois), non reprises dans la grille tarifaire ni les contrats types.</w:t>
            </w:r>
          </w:p>
        </w:tc>
        <w:tc>
          <w:tcPr>
            <w:tcW w:type="dxa" w:w="290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Décider si ces remises doivent figurer explicitement dans la grille tarifaire publique ou rester une clause CGV appliquée au cas par cas.</w:t>
            </w:r>
          </w:p>
        </w:tc>
        <w:tc>
          <w:tcPr>
            <w:tcW w:type="dxa" w:w="1360"/>
            <w:tcBorders>
              <w:top w:val="single" w:color="CCCCCC" w:sz="1"/>
              <w:left w:val="single" w:color="CCCCCC" w:sz="1"/>
              <w:bottom w:val="single" w:color="CCCCCC" w:sz="1"/>
              <w:right w:val="single" w:color="CCCCCC" w:sz="1"/>
            </w:tcBorders>
            <w:shd w:fill="EFF5F7" w:val="clear"/>
            <w:tcMar>
              <w:top w:type="dxa" w:w="80"/>
              <w:left w:type="dxa" w:w="100"/>
              <w:bottom w:type="dxa" w:w="80"/>
              <w:right w:type="dxa" w:w="100"/>
            </w:tcMar>
          </w:tcPr>
          <w:p>
            <w:pPr>
              <w:jc w:val="left"/>
            </w:pPr>
            <w:r>
              <w:rPr>
                <w:rFonts w:ascii="Arial" w:cs="Arial" w:eastAsia="Arial" w:hAnsi="Arial"/>
                <w:b w:val="false"/>
                <w:bCs w:val="false"/>
                <w:sz w:val="18"/>
                <w:szCs w:val="18"/>
              </w:rPr>
              <w:t xml:space="preserve">Prochaine réunion CA</w:t>
            </w:r>
          </w:p>
        </w:tc>
      </w:tr>
    </w:tbl>
    <w:p>
      <w:pPr>
        <w:pStyle w:val="Heading2"/>
      </w:pPr>
      <w:r>
        <w:rPr>
          <w:rFonts w:ascii="Arial" w:cs="Arial" w:eastAsia="Arial" w:hAnsi="Arial"/>
        </w:rPr>
        <w:t xml:space="preserve">4. Points de vigilance secondaires (à traiter hors séance)</w:t>
      </w:r>
    </w:p>
    <w:p>
      <w:pPr>
        <w:pStyle w:val="ListParagraph"/>
        <w:numPr>
          <w:ilvl w:val="0"/>
          <w:numId w:val="2"/>
        </w:numPr>
        <w:spacing w:after="60"/>
      </w:pPr>
      <w:r>
        <w:rPr>
          <w:rFonts w:ascii="Arial" w:cs="Arial" w:eastAsia="Arial" w:hAnsi="Arial"/>
          <w:sz w:val="21"/>
          <w:szCs w:val="21"/>
        </w:rPr>
        <w:t xml:space="preserve">CRM Prospects : 44 prospects réellement enregistrés, contre « 13+ » annoncé sur le site interne (index.html) ; un identifiant dupliqué (ID 35) à corriger ; le tableau de bord hebdomadaire (KPIs) n'est pas renseigné depuis sa création.</w:t>
      </w:r>
    </w:p>
    <w:p>
      <w:pPr>
        <w:pStyle w:val="ListParagraph"/>
        <w:numPr>
          <w:ilvl w:val="0"/>
          <w:numId w:val="2"/>
        </w:numPr>
        <w:spacing w:after="60"/>
      </w:pPr>
      <w:r>
        <w:rPr>
          <w:rFonts w:ascii="Arial" w:cs="Arial" w:eastAsia="Arial" w:hAnsi="Arial"/>
          <w:sz w:val="21"/>
          <w:szCs w:val="21"/>
        </w:rPr>
        <w:t xml:space="preserve">CRM Prospects : la fiche AT.Elec Conseil indique une demande de suppression RGPD de ses données — à vérifier qu'elle a bien été exécutée.</w:t>
      </w:r>
    </w:p>
    <w:p>
      <w:pPr>
        <w:pStyle w:val="ListParagraph"/>
        <w:numPr>
          <w:ilvl w:val="0"/>
          <w:numId w:val="2"/>
        </w:numPr>
        <w:spacing w:after="60"/>
      </w:pPr>
      <w:r>
        <w:rPr>
          <w:rFonts w:ascii="Arial" w:cs="Arial" w:eastAsia="Arial" w:hAnsi="Arial"/>
          <w:sz w:val="21"/>
          <w:szCs w:val="21"/>
        </w:rPr>
        <w:t xml:space="preserve">Statuts (art. 19.1 et 20.1) : la date d'adoption par l'AG constitutive et l'identité du secrétaire fondateur provisoire restent en partie au format « à compléter » dans le corps du texte, malgré une signature finale complète. À corriger par procès-verbal rectificatif si besoin juridique.</w:t>
      </w:r>
    </w:p>
    <w:p>
      <w:pPr>
        <w:pStyle w:val="ListParagraph"/>
        <w:numPr>
          <w:ilvl w:val="0"/>
          <w:numId w:val="2"/>
        </w:numPr>
        <w:spacing w:after="60"/>
      </w:pPr>
      <w:r>
        <w:rPr>
          <w:rFonts w:ascii="Arial" w:cs="Arial" w:eastAsia="Arial" w:hAnsi="Arial"/>
          <w:sz w:val="21"/>
          <w:szCs w:val="21"/>
        </w:rPr>
        <w:t xml:space="preserve">Statuts : le numéro de téléphone du Président diffère entre les statuts (06 52 81 38 22) et tous les autres documents (06 51 50 97 18) — à vérifier.</w:t>
      </w:r>
    </w:p>
    <w:p>
      <w:pPr>
        <w:pStyle w:val="ListParagraph"/>
        <w:numPr>
          <w:ilvl w:val="0"/>
          <w:numId w:val="2"/>
        </w:numPr>
        <w:spacing w:after="60"/>
      </w:pPr>
      <w:r>
        <w:rPr>
          <w:rFonts w:ascii="Arial" w:cs="Arial" w:eastAsia="Arial" w:hAnsi="Arial"/>
          <w:sz w:val="21"/>
          <w:szCs w:val="21"/>
        </w:rPr>
        <w:t xml:space="preserve">Offre de stage Assistant Administratif (Bac Pro AGORA) : adresse et coordonnées de contact non complétées — à finaliser avant diffusion publique.</w:t>
      </w:r>
    </w:p>
    <w:p>
      <w:pPr>
        <w:pStyle w:val="ListParagraph"/>
        <w:numPr>
          <w:ilvl w:val="0"/>
          <w:numId w:val="2"/>
        </w:numPr>
        <w:spacing w:after="60"/>
      </w:pPr>
      <w:r>
        <w:rPr>
          <w:rFonts w:ascii="Arial" w:cs="Arial" w:eastAsia="Arial" w:hAnsi="Arial"/>
          <w:sz w:val="21"/>
          <w:szCs w:val="21"/>
        </w:rPr>
        <w:t xml:space="preserve">Ordre du jour : deux versions du support de réunion coexistent (index.html et index_v2.html). La version 2, plus récente, recentre le périmètre de ce soir et exclut budget/CRM/financement. Vérifier qu'elle est bien la version suivie en séance.</w:t>
      </w:r>
    </w:p>
    <w:p>
      <w:pPr>
        <w:pStyle w:val="Heading2"/>
      </w:pPr>
      <w:r>
        <w:rPr>
          <w:rFonts w:ascii="Arial" w:cs="Arial" w:eastAsia="Arial" w:hAnsi="Arial"/>
        </w:rPr>
        <w:t xml:space="preserve">5. Prochaines étapes proposées</w:t>
      </w:r>
    </w:p>
    <w:p>
      <w:pPr>
        <w:pStyle w:val="ListParagraph"/>
        <w:numPr>
          <w:ilvl w:val="0"/>
          <w:numId w:val="2"/>
        </w:numPr>
        <w:spacing w:after="60"/>
      </w:pPr>
      <w:r>
        <w:rPr>
          <w:rFonts w:ascii="Arial" w:cs="Arial" w:eastAsia="Arial" w:hAnsi="Arial"/>
          <w:sz w:val="21"/>
          <w:szCs w:val="21"/>
        </w:rPr>
        <w:t xml:space="preserve">Ce soir : adopter la Charte v2, clarifier la liste des locataires actuels, désigner les rôles de séance (animateur, secrétaire, gardien du temps).</w:t>
      </w:r>
    </w:p>
    <w:p>
      <w:pPr>
        <w:pStyle w:val="ListParagraph"/>
        <w:numPr>
          <w:ilvl w:val="0"/>
          <w:numId w:val="2"/>
        </w:numPr>
        <w:spacing w:after="60"/>
      </w:pPr>
      <w:r>
        <w:rPr>
          <w:rFonts w:ascii="Arial" w:cs="Arial" w:eastAsia="Arial" w:hAnsi="Arial"/>
          <w:sz w:val="21"/>
          <w:szCs w:val="21"/>
        </w:rPr>
        <w:t xml:space="preserve">Sous 48h : diffuser le relevé de décisions, mettre à jour le CRM et le budget avec la liste validée des locataires.</w:t>
      </w:r>
    </w:p>
    <w:p>
      <w:pPr>
        <w:pStyle w:val="ListParagraph"/>
        <w:numPr>
          <w:ilvl w:val="0"/>
          <w:numId w:val="2"/>
        </w:numPr>
        <w:spacing w:after="60"/>
      </w:pPr>
      <w:r>
        <w:rPr>
          <w:rFonts w:ascii="Arial" w:cs="Arial" w:eastAsia="Arial" w:hAnsi="Arial"/>
          <w:sz w:val="21"/>
          <w:szCs w:val="21"/>
        </w:rPr>
        <w:t xml:space="preserve">Sous 7 jours : statuer sur la remise Ovni-Graphics et sur l'avenant CCFA (avance de trésorerie + échéance de transformation en sous-location).</w:t>
      </w:r>
    </w:p>
    <w:p>
      <w:pPr>
        <w:pStyle w:val="ListParagraph"/>
        <w:numPr>
          <w:ilvl w:val="0"/>
          <w:numId w:val="2"/>
        </w:numPr>
        <w:spacing w:after="60"/>
      </w:pPr>
      <w:r>
        <w:rPr>
          <w:rFonts w:ascii="Arial" w:cs="Arial" w:eastAsia="Arial" w:hAnsi="Arial"/>
          <w:sz w:val="21"/>
          <w:szCs w:val="21"/>
        </w:rPr>
        <w:t xml:space="preserve">Prochaine réunion association (budget/CRM/financement) : présenter la trésorerie prévisionnelle corrigée et le point sur les remises ESUS.</w:t>
      </w:r>
    </w:p>
    <w:p>
      <w:pPr>
        <w:spacing w:before="300"/>
      </w:pPr>
      <w:r>
        <w:rPr>
          <w:rFonts w:ascii="Arial" w:cs="Arial" w:eastAsia="Arial" w:hAnsi="Arial"/>
          <w:i/>
          <w:iCs/>
          <w:color w:val="666666"/>
          <w:sz w:val="18"/>
          <w:szCs w:val="18"/>
        </w:rPr>
        <w:t xml:space="preserve">Note préparée le 25 juin 2026 à partir de l'analyse complète du dossier de réunion. Document de travail interne, à usage du Conseil des locataires et du Conseil d'Administration.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2026-06-25T10:18:14.136Z</dcterms:created>
  <dcterms:modified xsi:type="dcterms:W3CDTF">2026-06-25T10:18:14.136Z</dcterms:modified>
</cp:coreProperties>
</file>

<file path=docProps/custom.xml><?xml version="1.0" encoding="utf-8"?>
<Properties xmlns="http://schemas.openxmlformats.org/officeDocument/2006/custom-properties" xmlns:vt="http://schemas.openxmlformats.org/officeDocument/2006/docPropsVTypes"/>
</file>