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CONDITIONS GÉNÉRALES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3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ASSOCIATION GÉNIE – TIERS-LIEU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6" w:sz="6" w:val="single"/>
        </w:pBdr>
        <w:spacing w:after="140" w:before="3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SIRET 100 178 730 00014 | RNA W822009896 | APE 94.99Z | ESS | 12 rue du Génie, 82000 Montauban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Article 1 – Objet et champ d’application</w:t>
      </w:r>
    </w:p>
    <w:p w:rsidR="00000000" w:rsidDel="00000000" w:rsidP="00000000" w:rsidRDefault="00000000" w:rsidRPr="00000000" w14:paraId="0000000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Les présentes Conditions Générales de Vente (CGV) s’appliquent à l’ensemble des prestations fournies par l’Association Génie, association loi 1901, ESS (loi n°2014-856 du 31/07/2014)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de bureaux privatifs (bail 3/6/9, annuel, mensuel)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à disposition de bureaux nomades / coworking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de salles de réunion (à l’heure, demi-journée, journée)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annexes (badge 24h/7j, casiers, adhésion)</w:t>
      </w:r>
    </w:p>
    <w:p w:rsidR="00000000" w:rsidDel="00000000" w:rsidP="00000000" w:rsidRDefault="00000000" w:rsidRPr="00000000" w14:paraId="0000000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Toute réservation ou signature de convention implique l’acceptation sans réserve des présentes CGV.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Article 2 – Identification du prestataire</w:t>
      </w:r>
    </w:p>
    <w:tbl>
      <w:tblPr>
        <w:tblStyle w:val="Table1"/>
        <w:tblW w:w="93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26"/>
        <w:tblGridChange w:id="0">
          <w:tblGrid>
            <w:gridCol w:w="3200"/>
            <w:gridCol w:w="6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Dénomination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Forme juridique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Association loi 1901 (ESS)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Siège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rue du Génie, 82000 Montauban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100 178 730 00014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W822009896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94.99Z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Représentant légal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Monsieur CHIKHI Samir, Président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06 51 50 97 18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genie.montauban@gmail.com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Crédit Mutuel – CCM Montauban Rive Droite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FR76 1027 8022 4800 0215 0990 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CMCIFR2A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Article 3 – Tarifs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3.1. Bureaux privatifs</w:t>
      </w:r>
    </w:p>
    <w:p w:rsidR="00000000" w:rsidDel="00000000" w:rsidP="00000000" w:rsidRDefault="00000000" w:rsidRPr="00000000" w14:paraId="0000002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Les tarifs sont définis dans la grille tarifaire 2026 annexée et rappelée dans chaque convention individuelle. Trois formules : bail 3/6/9 (15 € HC/m²/mois), bail annuel (17 € HC/m²/mois), mensuel (18 € HC/m²/mois). Charges TCC = HC + 23 % (comprenant électricité, fibre, eau, ménage parties communes).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3.2. Bureaux nomades / coworking</w:t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Tarifs à la demi-journée, journée, semaine ou mois selon grille 2026.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3.3. Salles de réunion</w:t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Quatre catégories tarifaires : CCFA (exclusivement), Adhérent, Locataire, Association/Syndicat (gratuit sous conditions). Tarifs à l’heure, demi-journée (4h) ou journée (8h).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3.4. Services complémentaires</w:t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Badge 24h/7j : 25 €/mois. Adhésion Génie : tarif selon statut</w:t>
      </w:r>
    </w:p>
    <w:p w:rsidR="00000000" w:rsidDel="00000000" w:rsidP="00000000" w:rsidRDefault="00000000" w:rsidRPr="00000000" w14:paraId="0000002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3.5. Tarification sociale (ESUS)</w:t>
      </w:r>
    </w:p>
    <w:p w:rsidR="00000000" w:rsidDel="00000000" w:rsidP="00000000" w:rsidRDefault="00000000" w:rsidRPr="00000000" w14:paraId="0000002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Structures ESS : –10 %. Structures d’insertion : –15 %. Créateurs &lt; 12 mois : –10 % (6 premiers mois). Sur justificatifs, validés par le CA.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3.6. Révision</w:t>
      </w:r>
    </w:p>
    <w:p w:rsidR="00000000" w:rsidDel="00000000" w:rsidP="00000000" w:rsidRDefault="00000000" w:rsidRPr="00000000" w14:paraId="0000003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Révision annuelle possible dans la limite de l’indice INSEE des loyers commerciaux (ILC), avec préavis de 2 mois.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Article 4 – Réservation et commande</w:t>
      </w:r>
    </w:p>
    <w:p w:rsidR="00000000" w:rsidDel="00000000" w:rsidP="00000000" w:rsidRDefault="00000000" w:rsidRPr="00000000" w14:paraId="0000003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réservation d’un espace (bureau nomade, salle de réunion) ou la signature d’une convention de bureau privatif vaut commande ferme.</w:t>
      </w:r>
    </w:p>
    <w:p w:rsidR="00000000" w:rsidDel="00000000" w:rsidP="00000000" w:rsidRDefault="00000000" w:rsidRPr="00000000" w14:paraId="00000033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Salles de réunion : </w:t>
      </w:r>
      <w:r w:rsidDel="00000000" w:rsidR="00000000" w:rsidRPr="00000000">
        <w:rPr>
          <w:rtl w:val="0"/>
        </w:rPr>
        <w:t xml:space="preserve">réservation min. 48h avant, max. 2 semaines (sauf récurrent). Associations/syndicats bénéficiant de la gratuité : 72h minimum.</w:t>
      </w:r>
    </w:p>
    <w:p w:rsidR="00000000" w:rsidDel="00000000" w:rsidP="00000000" w:rsidRDefault="00000000" w:rsidRPr="00000000" w14:paraId="00000034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Coworking : </w:t>
      </w:r>
      <w:r w:rsidDel="00000000" w:rsidR="00000000" w:rsidRPr="00000000">
        <w:rPr>
          <w:rtl w:val="0"/>
        </w:rPr>
        <w:t xml:space="preserve">réservation en ligne, par téléphone ou sur place.</w:t>
      </w:r>
    </w:p>
    <w:p w:rsidR="00000000" w:rsidDel="00000000" w:rsidP="00000000" w:rsidRDefault="00000000" w:rsidRPr="00000000" w14:paraId="00000035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Bureaux privatifs : </w:t>
      </w:r>
      <w:r w:rsidDel="00000000" w:rsidR="00000000" w:rsidRPr="00000000">
        <w:rPr>
          <w:rtl w:val="0"/>
        </w:rPr>
        <w:t xml:space="preserve">convention signée (cf. Convention de mise à disposition).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Article 5 – Conditions de paiement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5.1. Modalités</w:t>
      </w:r>
    </w:p>
    <w:p w:rsidR="00000000" w:rsidDel="00000000" w:rsidP="00000000" w:rsidRDefault="00000000" w:rsidRPr="00000000" w14:paraId="0000003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Paiement par virement bancaire (IBAN ci-dessus), prélèvement SEPA, chèque à l’ordre de « Association Génie », espèces (jusqu’à 1 000 €), ou en ligne (HelloAsso).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5.2. Échéances</w:t>
      </w:r>
    </w:p>
    <w:p w:rsidR="00000000" w:rsidDel="00000000" w:rsidP="00000000" w:rsidRDefault="00000000" w:rsidRPr="00000000" w14:paraId="0000003A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Bureaux privatifs : </w:t>
      </w:r>
      <w:r w:rsidDel="00000000" w:rsidR="00000000" w:rsidRPr="00000000">
        <w:rPr>
          <w:rtl w:val="0"/>
        </w:rPr>
        <w:t xml:space="preserve">redevance mensuelle, d’avance, avant le 5 du mois.</w:t>
      </w:r>
    </w:p>
    <w:p w:rsidR="00000000" w:rsidDel="00000000" w:rsidP="00000000" w:rsidRDefault="00000000" w:rsidRPr="00000000" w14:paraId="0000003B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Salles de réunion (ponctuel) : </w:t>
      </w:r>
      <w:r w:rsidDel="00000000" w:rsidR="00000000" w:rsidRPr="00000000">
        <w:rPr>
          <w:rtl w:val="0"/>
        </w:rPr>
        <w:t xml:space="preserve">paiement à la réservation.</w:t>
      </w:r>
    </w:p>
    <w:p w:rsidR="00000000" w:rsidDel="00000000" w:rsidP="00000000" w:rsidRDefault="00000000" w:rsidRPr="00000000" w14:paraId="0000003C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Salles (récurrent) : </w:t>
      </w:r>
      <w:r w:rsidDel="00000000" w:rsidR="00000000" w:rsidRPr="00000000">
        <w:rPr>
          <w:rtl w:val="0"/>
        </w:rPr>
        <w:t xml:space="preserve">facturation mensuelle, avant le 5 du mois suivant.</w:t>
      </w:r>
    </w:p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Coworking : </w:t>
      </w:r>
      <w:r w:rsidDel="00000000" w:rsidR="00000000" w:rsidRPr="00000000">
        <w:rPr>
          <w:rtl w:val="0"/>
        </w:rPr>
        <w:t xml:space="preserve">paiement à la réservation (ponctuel) ou mensuel d’avance.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5.3. Dépôt de garantie</w:t>
      </w:r>
    </w:p>
    <w:p w:rsidR="00000000" w:rsidDel="00000000" w:rsidP="00000000" w:rsidRDefault="00000000" w:rsidRPr="00000000" w14:paraId="0000003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Bureaux privatifs : 1 mois de redevance TCC à la signature. Restitué sous 2 mois après libération.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5.4. TVA</w:t>
      </w:r>
    </w:p>
    <w:p w:rsidR="00000000" w:rsidDel="00000000" w:rsidP="00000000" w:rsidRDefault="00000000" w:rsidRPr="00000000" w14:paraId="0000004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L’Association bénéficie de la franchise en base de TVA (art. 293 B du CGI). En cas de dépassement du seuil légal, TVA appliquée après information 30 jours.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Article 6 – Retard de paiement</w:t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Tout retard &gt; 15 jours : pénalité de 3× le taux d’intérêt légal + indemnité forfaitaire de 40 € (art. L. 441-10 C. com.). Toute somme non payée à échéance produit des intérêts de retard de plein droit et sans mise en demeure préalable.</w:t>
      </w:r>
    </w:p>
    <w:p w:rsidR="00000000" w:rsidDel="00000000" w:rsidP="00000000" w:rsidRDefault="00000000" w:rsidRPr="00000000" w14:paraId="0000004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Au-delà de 2 mois d’impayés (2 relances écrites espacées de 15 jours) : résiliation de plein droit, sans préavis, par LRAR.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Article 7 – Annulation et résiliation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7.1. Salles de réunion</w:t>
      </w:r>
    </w:p>
    <w:p w:rsidR="00000000" w:rsidDel="00000000" w:rsidP="00000000" w:rsidRDefault="00000000" w:rsidRPr="00000000" w14:paraId="0000004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Annulation &gt; 48h : aucun frais. Annulation &gt; 24h : 50 %. No-show : 100 %.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7.2. Coworking</w:t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Annulation gratuite avant le début de la période réservée. En cours d’utilisation : aucun remboursement.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7.3. Bureaux privatifs</w:t>
      </w:r>
    </w:p>
    <w:p w:rsidR="00000000" w:rsidDel="00000000" w:rsidP="00000000" w:rsidRDefault="00000000" w:rsidRPr="00000000" w14:paraId="0000004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Selon convention individuelle (préavis 3 mois/2 mois/1 mois selon formule). Résiliation anticipée possible en cas de force majeure ou de manquement grave.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7.4. Droit de rétractation</w:t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Pour les clients professionnels : pas de droit de rétractation (art. L. 221-3 Code de la consommation). Pour les consommateurs utilisant les services ponctuellement : droit de rétractation de 14 jours à compter de la réservation, sauf si la prestation a déjà été exécutée avec accord.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Article 8 – Obligations du client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Respecter le règlement intérieur du tiers-lieu Génie.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espaces conformément à leur destination.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Souscrire une assurance RC couvrant l’activité exercée.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Restituer les locaux en bon état (usure normale exceptée).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Signaler toute dégradation immédiatement.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Article 9 – Obligations de l’Association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Fournir les espaces et services décrits dans la convention ou réservation.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Maintenir les locaux et équipements en bon état.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Assurer la confidentialité des données (RGPD).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Informer les clients de toute modification de tarifs ou de services (préavis 2 mois).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Article 10 – Responsabilité</w:t>
      </w:r>
    </w:p>
    <w:p w:rsidR="00000000" w:rsidDel="00000000" w:rsidP="00000000" w:rsidRDefault="00000000" w:rsidRPr="00000000" w14:paraId="0000005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L’Association fournit une obligation de moyens concernant la mise à disposition des espaces et services. L’Association ne saurait être tenue responsable en cas de : interruption temporaire des services (panne internet, coupure électrique) dépassant pas 48h, vol ou perte d’effets personnels, dommages causés par un utilisateur à un autre, force majeure.</w:t>
      </w:r>
    </w:p>
    <w:p w:rsidR="00000000" w:rsidDel="00000000" w:rsidP="00000000" w:rsidRDefault="00000000" w:rsidRPr="00000000" w14:paraId="0000005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Le client est responsable des dommages qu’il cause aux locaux, équipements et aux tiers du fait de son activité.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Article 11 – Propriété intellectuelle</w:t>
      </w:r>
    </w:p>
    <w:p w:rsidR="00000000" w:rsidDel="00000000" w:rsidP="00000000" w:rsidRDefault="00000000" w:rsidRPr="00000000" w14:paraId="0000005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marque Génie, le logo, les supports de communication sont la propriété de l’Association. Toute reproduction ou utilisation sans autorisation écrite est interdite.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Article 12 – Données personnelles (RGPD)</w:t>
      </w:r>
    </w:p>
    <w:p w:rsidR="00000000" w:rsidDel="00000000" w:rsidP="00000000" w:rsidRDefault="00000000" w:rsidRPr="00000000" w14:paraId="0000005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Responsable de traitement : Association Génie, représentée par M. CHIKHI Samir. Données collectées : identification, coordonnées, données de facturation. Finalité : exécution contractuelle et gestion des réservations. Durée : relation contractuelle + 3 ans (obligations légales). Droits d’accès, rectification, effacement, portabilité : genie.montauban@gmail.com. Pas de transfert hors UE. Pas de transmission à des tiers sans consentement (sauf obligation légale).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Article 13 – Médiation et litiges</w:t>
      </w:r>
    </w:p>
    <w:p w:rsidR="00000000" w:rsidDel="00000000" w:rsidP="00000000" w:rsidRDefault="00000000" w:rsidRPr="00000000" w14:paraId="0000006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En cas de différend, les parties recherchent d’abord une solution amiable (Commission Éthique, art. 13.2 des statuts, ou médiateur extérieur).</w:t>
      </w:r>
    </w:p>
    <w:p w:rsidR="00000000" w:rsidDel="00000000" w:rsidP="00000000" w:rsidRDefault="00000000" w:rsidRPr="00000000" w14:paraId="0000006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Conformément aux articles L. 616-1 et R. 616-1 du Code de la consommation, le consommateur peut recourir gratuitement au service de médiation proposé par l’Association. Le médiateur compétent sera communiqué sur demande.</w:t>
      </w:r>
    </w:p>
    <w:p w:rsidR="00000000" w:rsidDel="00000000" w:rsidP="00000000" w:rsidRDefault="00000000" w:rsidRPr="00000000" w14:paraId="0000006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À défaut de résolution amiable sous 60 jours : Tribunal judiciaire de Montauban.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Article 14 – Force majeure</w:t>
      </w:r>
    </w:p>
    <w:p w:rsidR="00000000" w:rsidDel="00000000" w:rsidP="00000000" w:rsidRDefault="00000000" w:rsidRPr="00000000" w14:paraId="0000006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Aucune partie ne sera tenue responsable de l’inexécution de ses obligations si celle-ci résulte d’un événement de force majeure au sens de l’article 1218 du Code civil (catastrophe naturelle, épidémie, décision administrative, etc.).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Article 15 – Dispositions générales</w:t>
      </w:r>
    </w:p>
    <w:p w:rsidR="00000000" w:rsidDel="00000000" w:rsidP="00000000" w:rsidRDefault="00000000" w:rsidRPr="00000000" w14:paraId="00000067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Droit applicable : </w:t>
      </w:r>
      <w:r w:rsidDel="00000000" w:rsidR="00000000" w:rsidRPr="00000000">
        <w:rPr>
          <w:rtl w:val="0"/>
        </w:rPr>
        <w:t xml:space="preserve">droit français.</w:t>
      </w:r>
    </w:p>
    <w:p w:rsidR="00000000" w:rsidDel="00000000" w:rsidP="00000000" w:rsidRDefault="00000000" w:rsidRPr="00000000" w14:paraId="00000068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Indépendance des clauses : </w:t>
      </w:r>
      <w:r w:rsidDel="00000000" w:rsidR="00000000" w:rsidRPr="00000000">
        <w:rPr>
          <w:rtl w:val="0"/>
        </w:rPr>
        <w:t xml:space="preserve">la nullité d’une clause n’affecte pas les autres.</w:t>
      </w:r>
    </w:p>
    <w:p w:rsidR="00000000" w:rsidDel="00000000" w:rsidP="00000000" w:rsidRDefault="00000000" w:rsidRPr="00000000" w14:paraId="00000069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Modifications : </w:t>
      </w:r>
      <w:r w:rsidDel="00000000" w:rsidR="00000000" w:rsidRPr="00000000">
        <w:rPr>
          <w:rtl w:val="0"/>
        </w:rPr>
        <w:t xml:space="preserve">les CGV peuvent être modifiées par le CA de l’Association avec préavis de 30 jours. La version applicable est celle en vigueur à la date de commande.</w:t>
      </w:r>
    </w:p>
    <w:p w:rsidR="00000000" w:rsidDel="00000000" w:rsidP="00000000" w:rsidRDefault="00000000" w:rsidRPr="00000000" w14:paraId="0000006A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Non-renonciation : </w:t>
      </w:r>
      <w:r w:rsidDel="00000000" w:rsidR="00000000" w:rsidRPr="00000000">
        <w:rPr>
          <w:rtl w:val="0"/>
        </w:rPr>
        <w:t xml:space="preserve">le fait pour l’Association de ne pas exercer un droit n’emporte pas renonciation.</w:t>
      </w:r>
    </w:p>
    <w:p w:rsidR="00000000" w:rsidDel="00000000" w:rsidP="00000000" w:rsidRDefault="00000000" w:rsidRPr="00000000" w14:paraId="0000006B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Intégralité : </w:t>
      </w:r>
      <w:r w:rsidDel="00000000" w:rsidR="00000000" w:rsidRPr="00000000">
        <w:rPr>
          <w:rtl w:val="0"/>
        </w:rPr>
        <w:t xml:space="preserve">les présentes CGV, les conventions individuelles, le règlement intérieur et la grille tarifaire constituent l’accord complet.</w:t>
      </w:r>
    </w:p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Fait à Montauban, le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Pour l’Association Génie : M. CHIKHI Samir, Président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 + cachet :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2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cccccc" w:space="4" w:sz="4" w:val="single"/>
      </w:pBdr>
      <w:jc w:val="center"/>
      <w:rPr/>
    </w:pPr>
    <w:r w:rsidDel="00000000" w:rsidR="00000000" w:rsidRPr="00000000">
      <w:rPr>
        <w:i w:val="1"/>
        <w:iCs w:val="1"/>
        <w:color w:val="aaaaaa"/>
        <w:sz w:val="15"/>
        <w:szCs w:val="15"/>
        <w:rtl w:val="0"/>
      </w:rPr>
      <w:t xml:space="preserve">Conditions Générales de Vente – Version février 2026 | genie.montauban@gmail.com | 06 51 50 97 18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bottom w:color="1f4e79" w:space="4" w:sz="4" w:val="single"/>
      </w:pBdr>
      <w:spacing w:after="120" w:lineRule="auto"/>
      <w:jc w:val="center"/>
      <w:rPr/>
    </w:pPr>
    <w:r w:rsidDel="00000000" w:rsidR="00000000" w:rsidRPr="00000000">
      <w:rPr>
        <w:i w:val="1"/>
        <w:iCs w:val="1"/>
        <w:color w:val="1f4e79"/>
        <w:sz w:val="16"/>
        <w:szCs w:val="16"/>
        <w:rtl w:val="0"/>
      </w:rPr>
      <w:t xml:space="preserve">Association Génie | SIRET 100 178 730 00014 | RNA W822009896</w:t>
    </w:r>
    <w:r w:rsidDel="00000000" w:rsidR="00000000" w:rsidRPr="00000000">
      <w:rPr>
        <w:i w:val="1"/>
        <w:iCs w:val="1"/>
        <w:color w:val="888888"/>
        <w:sz w:val="16"/>
        <w:szCs w:val="16"/>
        <w:rtl w:val="0"/>
      </w:rPr>
      <w:t xml:space="preserve"> | 12 rue du Génie – 82000 Montauban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8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lev1" w:customStyle="1">
    <w:name w:val="Élevé1"/>
    <w:qFormat w:val="1"/>
    <w:rPr>
      <w:b w:val="1"/>
      <w:bCs w:val="1"/>
    </w:rPr>
  </w:style>
  <w:style w:type="paragraph" w:styleId="Paragraphedeliste">
    <w:name w:val="List Paragraph"/>
    <w:qFormat w:val="1"/>
  </w:style>
  <w:style w:type="character" w:styleId="Lienhypertexte">
    <w:name w:val="Hyperlink"/>
    <w:uiPriority w:val="99"/>
    <w:unhideWhenUsed w:val="1"/>
    <w:rPr>
      <w:color w:val="0563c1"/>
      <w:u w:val="single"/>
    </w:rPr>
  </w:style>
  <w:style w:type="character" w:styleId="Appelnotedebasdep">
    <w:name w:val="footnote reference"/>
    <w:uiPriority w:val="99"/>
    <w:semiHidden w:val="1"/>
    <w:unhideWhenUsed w:val="1"/>
    <w:rPr>
      <w:vertAlign w:val="superscript"/>
    </w:rPr>
  </w:style>
  <w:style w:type="paragraph" w:styleId="Notedebasdepage">
    <w:name w:val="footnote text"/>
    <w:link w:val="NotedebasdepageCar"/>
    <w:uiPriority w:val="99"/>
    <w:semiHidden w:val="1"/>
    <w:unhideWhenUsed w:val="1"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/tpYzpHwL8eYqTE5t9P9pAf+cA==">CgMxLjA4AHIhMVdSRksxeDZQOVFiSVpGUTI1SkNZTUhtVllUbjRUc3hK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2026-02-19T06:46:00Z</dcterms:created>
  <dc:creator>Un-named</dc:creator>
</cp:coreProperties>
</file>